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FDFF" w14:textId="77777777" w:rsidR="00330810" w:rsidRPr="00330810" w:rsidRDefault="00330810" w:rsidP="00330810">
      <w:pPr>
        <w:pStyle w:val="Header"/>
        <w:rPr>
          <w:sz w:val="28"/>
          <w:szCs w:val="28"/>
        </w:rPr>
      </w:pPr>
    </w:p>
    <w:p w14:paraId="58ABDD00" w14:textId="77777777" w:rsidR="00A20546" w:rsidRPr="001545AE" w:rsidRDefault="00B73D0A" w:rsidP="00A20546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Darlington Borough Council Learning &amp; Skills Service</w:t>
      </w:r>
    </w:p>
    <w:p w14:paraId="544A38F1" w14:textId="37039C45" w:rsidR="00A20546" w:rsidRPr="001545AE" w:rsidRDefault="00B73D0A" w:rsidP="00A20546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545AE">
        <w:rPr>
          <w:rFonts w:cstheme="minorHAnsi"/>
          <w:b/>
          <w:color w:val="000000" w:themeColor="text1"/>
          <w:sz w:val="24"/>
          <w:szCs w:val="24"/>
        </w:rPr>
        <w:t>Supply Chain Fees and Charges Policy</w:t>
      </w:r>
      <w:r w:rsidR="00114989" w:rsidRPr="001545A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14989" w:rsidRPr="00A46404">
        <w:rPr>
          <w:rFonts w:cstheme="minorHAnsi"/>
          <w:b/>
          <w:sz w:val="24"/>
          <w:szCs w:val="24"/>
        </w:rPr>
        <w:t>202</w:t>
      </w:r>
      <w:r w:rsidR="009B02DC" w:rsidRPr="00A46404">
        <w:rPr>
          <w:rFonts w:cstheme="minorHAnsi"/>
          <w:b/>
          <w:sz w:val="24"/>
          <w:szCs w:val="24"/>
        </w:rPr>
        <w:t>4</w:t>
      </w:r>
      <w:r w:rsidR="00114989" w:rsidRPr="00A46404">
        <w:rPr>
          <w:rFonts w:cstheme="minorHAnsi"/>
          <w:b/>
          <w:sz w:val="24"/>
          <w:szCs w:val="24"/>
        </w:rPr>
        <w:t>/2</w:t>
      </w:r>
      <w:r w:rsidR="009B02DC" w:rsidRPr="00A46404">
        <w:rPr>
          <w:rFonts w:cstheme="minorHAnsi"/>
          <w:b/>
          <w:sz w:val="24"/>
          <w:szCs w:val="24"/>
        </w:rPr>
        <w:t>5</w:t>
      </w:r>
    </w:p>
    <w:p w14:paraId="3E775DA0" w14:textId="77777777" w:rsidR="0042030F" w:rsidRPr="001545AE" w:rsidRDefault="0042030F" w:rsidP="00B73D0A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Introduction</w:t>
      </w:r>
    </w:p>
    <w:p w14:paraId="044FA86F" w14:textId="77777777" w:rsidR="0042030F" w:rsidRPr="001545AE" w:rsidRDefault="0042030F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This policy details the supply chain fees and charges policy for sub-contracted provision.</w:t>
      </w:r>
    </w:p>
    <w:p w14:paraId="7EFD4D9D" w14:textId="77777777" w:rsidR="00A20546" w:rsidRPr="001545AE" w:rsidRDefault="00B73D0A" w:rsidP="00B73D0A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Policy Statement</w:t>
      </w:r>
    </w:p>
    <w:p w14:paraId="56976F14" w14:textId="24BF6820" w:rsidR="00A20546" w:rsidRPr="00A46404" w:rsidRDefault="0065190C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Darlington Borough Council</w:t>
      </w:r>
      <w:r w:rsidR="003815AE" w:rsidRPr="001545AE">
        <w:rPr>
          <w:rFonts w:cstheme="minorHAnsi"/>
          <w:sz w:val="24"/>
          <w:szCs w:val="24"/>
        </w:rPr>
        <w:t>’s</w:t>
      </w:r>
      <w:r w:rsidRPr="001545AE">
        <w:rPr>
          <w:rFonts w:cstheme="minorHAnsi"/>
          <w:sz w:val="24"/>
          <w:szCs w:val="24"/>
        </w:rPr>
        <w:t xml:space="preserve"> Learning &amp; Skills Service</w:t>
      </w:r>
      <w:r w:rsidR="003815AE" w:rsidRPr="001545AE">
        <w:rPr>
          <w:rFonts w:cstheme="minorHAnsi"/>
          <w:sz w:val="24"/>
          <w:szCs w:val="24"/>
        </w:rPr>
        <w:t xml:space="preserve"> (the Service)</w:t>
      </w:r>
      <w:r w:rsidR="00A20546" w:rsidRPr="001545AE">
        <w:rPr>
          <w:rFonts w:cstheme="minorHAnsi"/>
          <w:sz w:val="24"/>
          <w:szCs w:val="24"/>
        </w:rPr>
        <w:t xml:space="preserve"> is</w:t>
      </w:r>
      <w:r w:rsidRPr="001545AE">
        <w:rPr>
          <w:rFonts w:cstheme="minorHAnsi"/>
          <w:sz w:val="24"/>
          <w:szCs w:val="24"/>
        </w:rPr>
        <w:t xml:space="preserve"> </w:t>
      </w:r>
      <w:r w:rsidR="00A20546" w:rsidRPr="001545AE">
        <w:rPr>
          <w:rFonts w:cstheme="minorHAnsi"/>
          <w:sz w:val="24"/>
          <w:szCs w:val="24"/>
        </w:rPr>
        <w:t xml:space="preserve">funded through </w:t>
      </w:r>
      <w:r w:rsidR="00845203" w:rsidRPr="001545AE">
        <w:rPr>
          <w:rFonts w:cstheme="minorHAnsi"/>
          <w:sz w:val="24"/>
          <w:szCs w:val="24"/>
        </w:rPr>
        <w:t xml:space="preserve">the Education and Skills </w:t>
      </w:r>
      <w:r w:rsidRPr="001545AE">
        <w:rPr>
          <w:rFonts w:cstheme="minorHAnsi"/>
          <w:sz w:val="24"/>
          <w:szCs w:val="24"/>
        </w:rPr>
        <w:t>Funding Agency</w:t>
      </w:r>
      <w:r w:rsidR="00845203" w:rsidRPr="001545AE">
        <w:rPr>
          <w:rFonts w:cstheme="minorHAnsi"/>
          <w:sz w:val="24"/>
          <w:szCs w:val="24"/>
        </w:rPr>
        <w:t xml:space="preserve"> (</w:t>
      </w:r>
      <w:r w:rsidR="00717D36" w:rsidRPr="001545AE">
        <w:rPr>
          <w:rFonts w:cstheme="minorHAnsi"/>
          <w:sz w:val="24"/>
          <w:szCs w:val="24"/>
        </w:rPr>
        <w:t>ESFA</w:t>
      </w:r>
      <w:r w:rsidR="00845203" w:rsidRPr="001545AE">
        <w:rPr>
          <w:rFonts w:cstheme="minorHAnsi"/>
          <w:sz w:val="24"/>
          <w:szCs w:val="24"/>
        </w:rPr>
        <w:t>)</w:t>
      </w:r>
      <w:r w:rsidRPr="001545AE">
        <w:rPr>
          <w:rFonts w:cstheme="minorHAnsi"/>
          <w:sz w:val="24"/>
          <w:szCs w:val="24"/>
        </w:rPr>
        <w:t xml:space="preserve"> </w:t>
      </w:r>
      <w:r w:rsidR="00717D36" w:rsidRPr="001545AE">
        <w:rPr>
          <w:rFonts w:cstheme="minorHAnsi"/>
          <w:sz w:val="24"/>
          <w:szCs w:val="24"/>
        </w:rPr>
        <w:t xml:space="preserve">and the Tees Valley Combined Authority (TVCA) </w:t>
      </w:r>
      <w:r w:rsidR="00A20546" w:rsidRPr="001545AE">
        <w:rPr>
          <w:rFonts w:cstheme="minorHAnsi"/>
          <w:sz w:val="24"/>
          <w:szCs w:val="24"/>
        </w:rPr>
        <w:t xml:space="preserve">to provide </w:t>
      </w:r>
      <w:r w:rsidR="00A20546" w:rsidRPr="00A46404">
        <w:rPr>
          <w:rFonts w:cstheme="minorHAnsi"/>
          <w:sz w:val="24"/>
          <w:szCs w:val="24"/>
        </w:rPr>
        <w:t xml:space="preserve">post-16 learning programmes.  The </w:t>
      </w:r>
      <w:r w:rsidR="003815AE" w:rsidRPr="00A46404">
        <w:rPr>
          <w:rFonts w:cstheme="minorHAnsi"/>
          <w:sz w:val="24"/>
          <w:szCs w:val="24"/>
        </w:rPr>
        <w:t>S</w:t>
      </w:r>
      <w:r w:rsidR="00A20546" w:rsidRPr="00A46404">
        <w:rPr>
          <w:rFonts w:cstheme="minorHAnsi"/>
          <w:sz w:val="24"/>
          <w:szCs w:val="24"/>
        </w:rPr>
        <w:t xml:space="preserve">ervice delivers a range of learning opportunities, including </w:t>
      </w:r>
      <w:r w:rsidR="009B02DC" w:rsidRPr="00A46404">
        <w:rPr>
          <w:rFonts w:cstheme="minorHAnsi"/>
          <w:sz w:val="24"/>
          <w:szCs w:val="24"/>
        </w:rPr>
        <w:t xml:space="preserve">Adult Skills Fund provision, Apprenticeships, </w:t>
      </w:r>
      <w:r w:rsidR="00A46404" w:rsidRPr="00A46404">
        <w:rPr>
          <w:rFonts w:cstheme="minorHAnsi"/>
          <w:sz w:val="24"/>
          <w:szCs w:val="24"/>
        </w:rPr>
        <w:t>T</w:t>
      </w:r>
      <w:r w:rsidR="009B02DC" w:rsidRPr="00A46404">
        <w:rPr>
          <w:rFonts w:cstheme="minorHAnsi"/>
          <w:sz w:val="24"/>
          <w:szCs w:val="24"/>
        </w:rPr>
        <w:t xml:space="preserve">ailored </w:t>
      </w:r>
      <w:r w:rsidR="00A46404" w:rsidRPr="00A46404">
        <w:rPr>
          <w:rFonts w:cstheme="minorHAnsi"/>
          <w:sz w:val="24"/>
          <w:szCs w:val="24"/>
        </w:rPr>
        <w:t>L</w:t>
      </w:r>
      <w:r w:rsidR="009B02DC" w:rsidRPr="00A46404">
        <w:rPr>
          <w:rFonts w:cstheme="minorHAnsi"/>
          <w:sz w:val="24"/>
          <w:szCs w:val="24"/>
        </w:rPr>
        <w:t>earning</w:t>
      </w:r>
      <w:r w:rsidR="00A20546" w:rsidRPr="00A46404">
        <w:rPr>
          <w:rFonts w:cstheme="minorHAnsi"/>
          <w:sz w:val="24"/>
          <w:szCs w:val="24"/>
        </w:rPr>
        <w:t xml:space="preserve">, </w:t>
      </w:r>
      <w:r w:rsidR="009B02DC" w:rsidRPr="00A46404">
        <w:rPr>
          <w:rFonts w:cstheme="minorHAnsi"/>
          <w:sz w:val="24"/>
          <w:szCs w:val="24"/>
        </w:rPr>
        <w:t>and Study</w:t>
      </w:r>
      <w:r w:rsidR="00A20546" w:rsidRPr="00A46404">
        <w:rPr>
          <w:rFonts w:cstheme="minorHAnsi"/>
          <w:sz w:val="24"/>
          <w:szCs w:val="24"/>
        </w:rPr>
        <w:t xml:space="preserve"> Programme </w:t>
      </w:r>
      <w:r w:rsidR="009B02DC" w:rsidRPr="00A46404">
        <w:rPr>
          <w:rFonts w:cstheme="minorHAnsi"/>
          <w:sz w:val="24"/>
          <w:szCs w:val="24"/>
        </w:rPr>
        <w:t>across a range of levels.</w:t>
      </w:r>
    </w:p>
    <w:p w14:paraId="0A8D339A" w14:textId="5E0A6286" w:rsidR="00AD42AB" w:rsidRPr="001545AE" w:rsidRDefault="0065190C" w:rsidP="00B73D0A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A46404">
        <w:rPr>
          <w:rFonts w:cstheme="minorHAnsi"/>
          <w:sz w:val="24"/>
          <w:szCs w:val="24"/>
        </w:rPr>
        <w:t>The Service</w:t>
      </w:r>
      <w:r w:rsidR="00A20546" w:rsidRPr="00A46404">
        <w:rPr>
          <w:rFonts w:cstheme="minorHAnsi"/>
          <w:sz w:val="24"/>
          <w:szCs w:val="24"/>
        </w:rPr>
        <w:t xml:space="preserve"> is </w:t>
      </w:r>
      <w:r w:rsidR="000B7C68" w:rsidRPr="00A46404">
        <w:rPr>
          <w:rFonts w:cstheme="minorHAnsi"/>
          <w:sz w:val="24"/>
          <w:szCs w:val="24"/>
        </w:rPr>
        <w:t>committed</w:t>
      </w:r>
      <w:r w:rsidR="00A20546" w:rsidRPr="00A46404">
        <w:rPr>
          <w:rFonts w:cstheme="minorHAnsi"/>
          <w:sz w:val="24"/>
          <w:szCs w:val="24"/>
        </w:rPr>
        <w:t xml:space="preserve"> to growing and diversifying the range of courses it </w:t>
      </w:r>
      <w:r w:rsidR="009476DD" w:rsidRPr="00A46404">
        <w:rPr>
          <w:rFonts w:cstheme="minorHAnsi"/>
          <w:sz w:val="24"/>
          <w:szCs w:val="24"/>
        </w:rPr>
        <w:t>delivers to widen participation, target and support the most vulnerable,</w:t>
      </w:r>
      <w:r w:rsidRPr="00A46404">
        <w:rPr>
          <w:rFonts w:cstheme="minorHAnsi"/>
          <w:sz w:val="24"/>
          <w:szCs w:val="24"/>
        </w:rPr>
        <w:t xml:space="preserve"> </w:t>
      </w:r>
      <w:r w:rsidR="009476DD" w:rsidRPr="00A46404">
        <w:rPr>
          <w:rFonts w:cstheme="minorHAnsi"/>
          <w:sz w:val="24"/>
          <w:szCs w:val="24"/>
        </w:rPr>
        <w:t>engage in new and emerging markets and meet the regional and local economic</w:t>
      </w:r>
      <w:r w:rsidRPr="00A46404">
        <w:rPr>
          <w:rFonts w:cstheme="minorHAnsi"/>
          <w:sz w:val="24"/>
          <w:szCs w:val="24"/>
        </w:rPr>
        <w:t xml:space="preserve"> </w:t>
      </w:r>
      <w:r w:rsidR="009B02DC" w:rsidRPr="00A46404">
        <w:rPr>
          <w:rFonts w:cstheme="minorHAnsi"/>
          <w:sz w:val="24"/>
          <w:szCs w:val="24"/>
        </w:rPr>
        <w:t xml:space="preserve">growth </w:t>
      </w:r>
      <w:r w:rsidR="009476DD" w:rsidRPr="001545AE">
        <w:rPr>
          <w:rFonts w:cstheme="minorHAnsi"/>
          <w:sz w:val="24"/>
          <w:szCs w:val="24"/>
        </w:rPr>
        <w:t xml:space="preserve">agenda and increasing prosperity.  The </w:t>
      </w:r>
      <w:r w:rsidR="003815AE" w:rsidRPr="001545AE">
        <w:rPr>
          <w:rFonts w:cstheme="minorHAnsi"/>
          <w:sz w:val="24"/>
          <w:szCs w:val="24"/>
        </w:rPr>
        <w:t>S</w:t>
      </w:r>
      <w:r w:rsidR="009476DD" w:rsidRPr="001545AE">
        <w:rPr>
          <w:rFonts w:cstheme="minorHAnsi"/>
          <w:sz w:val="24"/>
          <w:szCs w:val="24"/>
        </w:rPr>
        <w:t xml:space="preserve">ervice achieves this </w:t>
      </w:r>
      <w:r w:rsidRPr="001545AE">
        <w:rPr>
          <w:rFonts w:cstheme="minorHAnsi"/>
          <w:sz w:val="24"/>
          <w:szCs w:val="24"/>
        </w:rPr>
        <w:t xml:space="preserve">largely through </w:t>
      </w:r>
      <w:r w:rsidR="007119C7" w:rsidRPr="001545AE">
        <w:rPr>
          <w:rFonts w:cstheme="minorHAnsi"/>
          <w:sz w:val="24"/>
          <w:szCs w:val="24"/>
        </w:rPr>
        <w:t>in-house</w:t>
      </w:r>
      <w:r w:rsidR="009476DD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d</w:t>
      </w:r>
      <w:r w:rsidR="009476DD" w:rsidRPr="001545AE">
        <w:rPr>
          <w:rFonts w:cstheme="minorHAnsi"/>
          <w:sz w:val="24"/>
          <w:szCs w:val="24"/>
        </w:rPr>
        <w:t xml:space="preserve">elivery </w:t>
      </w:r>
      <w:r w:rsidRPr="001545AE">
        <w:rPr>
          <w:rFonts w:cstheme="minorHAnsi"/>
          <w:sz w:val="24"/>
          <w:szCs w:val="24"/>
        </w:rPr>
        <w:t xml:space="preserve">and on occasion through </w:t>
      </w:r>
      <w:r w:rsidR="009476DD" w:rsidRPr="001545AE">
        <w:rPr>
          <w:rFonts w:cstheme="minorHAnsi"/>
          <w:sz w:val="24"/>
          <w:szCs w:val="24"/>
        </w:rPr>
        <w:t xml:space="preserve">externally commissioned </w:t>
      </w:r>
      <w:r w:rsidR="000957D8" w:rsidRPr="001545AE">
        <w:rPr>
          <w:rFonts w:cstheme="minorHAnsi"/>
          <w:sz w:val="24"/>
          <w:szCs w:val="24"/>
        </w:rPr>
        <w:t>high-quality</w:t>
      </w:r>
      <w:r w:rsidRPr="001545AE">
        <w:rPr>
          <w:rFonts w:cstheme="minorHAnsi"/>
          <w:sz w:val="24"/>
          <w:szCs w:val="24"/>
        </w:rPr>
        <w:t xml:space="preserve"> provision to meet specific identified need.  </w:t>
      </w:r>
    </w:p>
    <w:p w14:paraId="66014C8C" w14:textId="77777777" w:rsidR="0065190C" w:rsidRPr="001545AE" w:rsidRDefault="0065190C" w:rsidP="00B73D0A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5AE27A23" w14:textId="77777777" w:rsidR="00AD42AB" w:rsidRPr="001545AE" w:rsidRDefault="0065190C" w:rsidP="00B73D0A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S</w:t>
      </w:r>
      <w:r w:rsidR="003815AE" w:rsidRPr="001545AE">
        <w:rPr>
          <w:rFonts w:cstheme="minorHAnsi"/>
          <w:sz w:val="24"/>
          <w:szCs w:val="24"/>
        </w:rPr>
        <w:t>u</w:t>
      </w:r>
      <w:r w:rsidRPr="001545AE">
        <w:rPr>
          <w:rFonts w:cstheme="minorHAnsi"/>
          <w:sz w:val="24"/>
          <w:szCs w:val="24"/>
        </w:rPr>
        <w:t>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contracting may be used to</w:t>
      </w:r>
      <w:r w:rsidR="00AD42AB" w:rsidRPr="001545AE">
        <w:rPr>
          <w:rFonts w:cstheme="minorHAnsi"/>
          <w:sz w:val="24"/>
          <w:szCs w:val="24"/>
        </w:rPr>
        <w:t>:</w:t>
      </w:r>
    </w:p>
    <w:p w14:paraId="3D748468" w14:textId="77777777" w:rsidR="00AD42AB" w:rsidRPr="001545AE" w:rsidRDefault="00AD42AB" w:rsidP="00B73D0A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3A084EA4" w14:textId="77777777" w:rsidR="00AD42AB" w:rsidRPr="001545AE" w:rsidRDefault="00AD42AB" w:rsidP="007119C7">
      <w:pPr>
        <w:pStyle w:val="ListParagraph"/>
        <w:numPr>
          <w:ilvl w:val="0"/>
          <w:numId w:val="8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Increase the variety of learning opportunities in </w:t>
      </w:r>
      <w:r w:rsidR="0065190C" w:rsidRPr="001545AE">
        <w:rPr>
          <w:rFonts w:cstheme="minorHAnsi"/>
          <w:sz w:val="24"/>
          <w:szCs w:val="24"/>
        </w:rPr>
        <w:t>Darlington and the surrounding area</w:t>
      </w:r>
      <w:r w:rsidRPr="001545AE">
        <w:rPr>
          <w:rFonts w:cstheme="minorHAnsi"/>
          <w:sz w:val="24"/>
          <w:szCs w:val="24"/>
        </w:rPr>
        <w:t>;</w:t>
      </w:r>
    </w:p>
    <w:p w14:paraId="6BBDC0A4" w14:textId="77777777" w:rsidR="00AD42AB" w:rsidRPr="001545AE" w:rsidRDefault="00AD42AB" w:rsidP="007119C7">
      <w:pPr>
        <w:pStyle w:val="ListParagraph"/>
        <w:numPr>
          <w:ilvl w:val="0"/>
          <w:numId w:val="8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Develop opportunities to meet the needs of learners and employers in new and emerging areas of delivery;</w:t>
      </w:r>
    </w:p>
    <w:p w14:paraId="69945653" w14:textId="77777777" w:rsidR="00AD42AB" w:rsidRPr="001545AE" w:rsidRDefault="00AD42AB" w:rsidP="007119C7">
      <w:pPr>
        <w:pStyle w:val="ListParagraph"/>
        <w:numPr>
          <w:ilvl w:val="0"/>
          <w:numId w:val="8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Meet the local and regional economic agenda, especially as expressed by the </w:t>
      </w:r>
      <w:r w:rsidR="00E56325" w:rsidRPr="001545AE">
        <w:rPr>
          <w:rFonts w:cstheme="minorHAnsi"/>
          <w:sz w:val="24"/>
          <w:szCs w:val="24"/>
        </w:rPr>
        <w:t xml:space="preserve">Tees Valley Combined Authority as the </w:t>
      </w:r>
      <w:r w:rsidRPr="001545AE">
        <w:rPr>
          <w:rFonts w:cstheme="minorHAnsi"/>
          <w:sz w:val="24"/>
          <w:szCs w:val="24"/>
        </w:rPr>
        <w:t>Local Enterprise Partnership (LEP);</w:t>
      </w:r>
    </w:p>
    <w:p w14:paraId="7AC0AD01" w14:textId="77777777" w:rsidR="00AD42AB" w:rsidRPr="001545AE" w:rsidRDefault="00AD42AB" w:rsidP="007119C7">
      <w:pPr>
        <w:pStyle w:val="ListParagraph"/>
        <w:numPr>
          <w:ilvl w:val="0"/>
          <w:numId w:val="8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Ensure that standards, quality and value for money are maintained.</w:t>
      </w:r>
    </w:p>
    <w:p w14:paraId="4CB9ED0F" w14:textId="77777777" w:rsidR="00AD42AB" w:rsidRPr="001545AE" w:rsidRDefault="00AD42AB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Whilst this list is not intended to be exhaustive, these key considerations will be at the heart of any proposal to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 delivery of provision.</w:t>
      </w:r>
    </w:p>
    <w:p w14:paraId="13C82F4B" w14:textId="77777777" w:rsidR="000B7C68" w:rsidRPr="001545AE" w:rsidRDefault="00B73D0A" w:rsidP="00B73D0A">
      <w:pPr>
        <w:spacing w:after="0" w:line="240" w:lineRule="auto"/>
        <w:ind w:left="360" w:hanging="360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Scope</w:t>
      </w:r>
    </w:p>
    <w:p w14:paraId="01CB17BB" w14:textId="77777777" w:rsidR="00CC7EF5" w:rsidRPr="001545AE" w:rsidRDefault="00CC7EF5" w:rsidP="00CC7EF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5A1F59" w14:textId="31C20C52" w:rsidR="005E3FAF" w:rsidRPr="001545AE" w:rsidRDefault="005E3FAF" w:rsidP="00B73D0A">
      <w:pPr>
        <w:spacing w:line="240" w:lineRule="auto"/>
        <w:ind w:left="-11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This applies to all supply chain activity supported by funds supplied by the </w:t>
      </w:r>
      <w:r w:rsidR="00717D36" w:rsidRPr="001545AE">
        <w:rPr>
          <w:rFonts w:cstheme="minorHAnsi"/>
          <w:sz w:val="24"/>
          <w:szCs w:val="24"/>
        </w:rPr>
        <w:t xml:space="preserve">ESFA, TVCA </w:t>
      </w:r>
      <w:r w:rsidRPr="001545AE">
        <w:rPr>
          <w:rFonts w:cstheme="minorHAnsi"/>
          <w:sz w:val="24"/>
          <w:szCs w:val="24"/>
        </w:rPr>
        <w:t>or any successor organisations.</w:t>
      </w:r>
    </w:p>
    <w:p w14:paraId="07717EF1" w14:textId="77777777" w:rsidR="005E3FAF" w:rsidRPr="001545AE" w:rsidRDefault="005E3FAF" w:rsidP="00B73D0A">
      <w:pPr>
        <w:spacing w:line="240" w:lineRule="auto"/>
        <w:ind w:left="-11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This strategy covers two key areas of sub</w:t>
      </w:r>
      <w:r w:rsidR="007119C7" w:rsidRPr="001545AE">
        <w:rPr>
          <w:rFonts w:cstheme="minorHAnsi"/>
          <w:sz w:val="24"/>
          <w:szCs w:val="24"/>
        </w:rPr>
        <w:t>-contracting:</w:t>
      </w:r>
    </w:p>
    <w:p w14:paraId="281F935B" w14:textId="77777777" w:rsidR="005E3FAF" w:rsidRPr="001545AE" w:rsidRDefault="005E3FAF" w:rsidP="007119C7">
      <w:pPr>
        <w:pStyle w:val="ListParagraph"/>
        <w:numPr>
          <w:ilvl w:val="0"/>
          <w:numId w:val="21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Provision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contracting where there is the delivery of full programmes or frameworks</w:t>
      </w:r>
      <w:r w:rsidR="00845203" w:rsidRPr="001545AE">
        <w:rPr>
          <w:rFonts w:cstheme="minorHAnsi"/>
          <w:sz w:val="24"/>
          <w:szCs w:val="24"/>
        </w:rPr>
        <w:t>/standards</w:t>
      </w:r>
      <w:r w:rsidRPr="001545AE">
        <w:rPr>
          <w:rFonts w:cstheme="minorHAnsi"/>
          <w:sz w:val="24"/>
          <w:szCs w:val="24"/>
        </w:rPr>
        <w:t xml:space="preserve"> by the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contractor</w:t>
      </w:r>
    </w:p>
    <w:p w14:paraId="5E64DF8D" w14:textId="77777777" w:rsidR="005E3FAF" w:rsidRPr="001545AE" w:rsidRDefault="005E3FAF" w:rsidP="007119C7">
      <w:pPr>
        <w:pStyle w:val="ListParagraph"/>
        <w:numPr>
          <w:ilvl w:val="0"/>
          <w:numId w:val="21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Service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contracting where the delivery of a service as part of the delivery of a programme such as procuring the delivery of part of an Apprenticeship framework</w:t>
      </w:r>
      <w:r w:rsidR="00845203" w:rsidRPr="001545AE">
        <w:rPr>
          <w:rFonts w:cstheme="minorHAnsi"/>
          <w:sz w:val="24"/>
          <w:szCs w:val="24"/>
        </w:rPr>
        <w:t>/standard</w:t>
      </w:r>
      <w:r w:rsidRPr="001545AE">
        <w:rPr>
          <w:rFonts w:cstheme="minorHAnsi"/>
          <w:sz w:val="24"/>
          <w:szCs w:val="24"/>
        </w:rPr>
        <w:t xml:space="preserve"> or outreach support.</w:t>
      </w:r>
    </w:p>
    <w:p w14:paraId="5EE107BA" w14:textId="77777777" w:rsidR="005E3FAF" w:rsidRPr="001545AE" w:rsidRDefault="005E3FAF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lastRenderedPageBreak/>
        <w:t xml:space="preserve">In both instances set out at </w:t>
      </w:r>
      <w:r w:rsidR="00B73D0A" w:rsidRPr="001545AE">
        <w:rPr>
          <w:rFonts w:cstheme="minorHAnsi"/>
          <w:sz w:val="24"/>
          <w:szCs w:val="24"/>
        </w:rPr>
        <w:t>in the bullet points</w:t>
      </w:r>
      <w:r w:rsidRPr="001545AE">
        <w:rPr>
          <w:rFonts w:cstheme="minorHAnsi"/>
          <w:sz w:val="24"/>
          <w:szCs w:val="24"/>
        </w:rPr>
        <w:t xml:space="preserve"> </w:t>
      </w:r>
      <w:r w:rsidR="00B73D0A" w:rsidRPr="001545AE">
        <w:rPr>
          <w:rFonts w:cstheme="minorHAnsi"/>
          <w:sz w:val="24"/>
          <w:szCs w:val="24"/>
        </w:rPr>
        <w:t>above</w:t>
      </w:r>
      <w:r w:rsidR="003815AE" w:rsidRPr="001545AE">
        <w:rPr>
          <w:rFonts w:cstheme="minorHAnsi"/>
          <w:sz w:val="24"/>
          <w:szCs w:val="24"/>
        </w:rPr>
        <w:t>,</w:t>
      </w:r>
      <w:r w:rsidRPr="001545AE">
        <w:rPr>
          <w:rFonts w:cstheme="minorHAnsi"/>
          <w:sz w:val="24"/>
          <w:szCs w:val="24"/>
        </w:rPr>
        <w:t xml:space="preserve"> </w:t>
      </w:r>
      <w:r w:rsidR="0065190C" w:rsidRPr="001545AE">
        <w:rPr>
          <w:rFonts w:cstheme="minorHAnsi"/>
          <w:sz w:val="24"/>
          <w:szCs w:val="24"/>
        </w:rPr>
        <w:t>the Service</w:t>
      </w:r>
      <w:r w:rsidRPr="001545AE">
        <w:rPr>
          <w:rFonts w:cstheme="minorHAnsi"/>
          <w:sz w:val="24"/>
          <w:szCs w:val="24"/>
        </w:rPr>
        <w:t xml:space="preserve"> retains full</w:t>
      </w:r>
      <w:r w:rsidR="0065190C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accountability for contract delivery.</w:t>
      </w:r>
    </w:p>
    <w:p w14:paraId="79F24CCC" w14:textId="77777777" w:rsidR="009A3F56" w:rsidRPr="001545AE" w:rsidRDefault="00B73D0A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Identifying the need to Sub-Contract</w:t>
      </w:r>
    </w:p>
    <w:p w14:paraId="5F793355" w14:textId="4CD42074" w:rsidR="009A3F56" w:rsidRPr="001545AE" w:rsidRDefault="009A3F56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need to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 xml:space="preserve">contract is likely to be determined either as a result of the on-going curriculum planning process, where it may become clear that there are gaps in capacity within the existing structure of the </w:t>
      </w:r>
      <w:r w:rsidR="0065190C" w:rsidRPr="001545AE">
        <w:rPr>
          <w:rFonts w:cstheme="minorHAnsi"/>
          <w:sz w:val="24"/>
          <w:szCs w:val="24"/>
        </w:rPr>
        <w:t xml:space="preserve">Service </w:t>
      </w:r>
      <w:r w:rsidRPr="001545AE">
        <w:rPr>
          <w:rFonts w:cstheme="minorHAnsi"/>
          <w:sz w:val="24"/>
          <w:szCs w:val="24"/>
        </w:rPr>
        <w:t>that cannot be economically addressed through recruitment or other approaches; as a result of the</w:t>
      </w:r>
      <w:r w:rsidR="0065190C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need to address shortfalls in performance against funding targets or to ensure the</w:t>
      </w:r>
      <w:r w:rsidR="0065190C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 xml:space="preserve">utilisation of additional funding that may be allocated by the </w:t>
      </w:r>
      <w:r w:rsidR="00717D36" w:rsidRPr="001545AE">
        <w:rPr>
          <w:rFonts w:cstheme="minorHAnsi"/>
          <w:sz w:val="24"/>
          <w:szCs w:val="24"/>
        </w:rPr>
        <w:t xml:space="preserve">ESFA or TVCA </w:t>
      </w:r>
      <w:r w:rsidRPr="001545AE">
        <w:rPr>
          <w:rFonts w:cstheme="minorHAnsi"/>
          <w:sz w:val="24"/>
          <w:szCs w:val="24"/>
        </w:rPr>
        <w:t>as part of its allocation</w:t>
      </w:r>
      <w:r w:rsidR="004F4300" w:rsidRPr="001545AE">
        <w:rPr>
          <w:rFonts w:cstheme="minorHAnsi"/>
          <w:sz w:val="24"/>
          <w:szCs w:val="24"/>
        </w:rPr>
        <w:t xml:space="preserve"> review process.</w:t>
      </w:r>
    </w:p>
    <w:p w14:paraId="47B31C38" w14:textId="77777777" w:rsidR="004F4300" w:rsidRPr="001545AE" w:rsidRDefault="004F4300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Where existing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contractors exist and may have</w:t>
      </w:r>
      <w:r w:rsidR="000957D8" w:rsidRPr="001545AE">
        <w:rPr>
          <w:rFonts w:cstheme="minorHAnsi"/>
          <w:sz w:val="24"/>
          <w:szCs w:val="24"/>
        </w:rPr>
        <w:t xml:space="preserve"> the capacity to undertake the </w:t>
      </w:r>
      <w:r w:rsidRPr="001545AE">
        <w:rPr>
          <w:rFonts w:cstheme="minorHAnsi"/>
          <w:sz w:val="24"/>
          <w:szCs w:val="24"/>
        </w:rPr>
        <w:t xml:space="preserve">delivery of provision relevant to the needs of the </w:t>
      </w:r>
      <w:r w:rsidR="00213F6F" w:rsidRPr="001545AE">
        <w:rPr>
          <w:rFonts w:cstheme="minorHAnsi"/>
          <w:sz w:val="24"/>
          <w:szCs w:val="24"/>
        </w:rPr>
        <w:t>S</w:t>
      </w:r>
      <w:r w:rsidRPr="001545AE">
        <w:rPr>
          <w:rFonts w:cstheme="minorHAnsi"/>
          <w:sz w:val="24"/>
          <w:szCs w:val="24"/>
        </w:rPr>
        <w:t xml:space="preserve">ervice and of local people, </w:t>
      </w:r>
      <w:r w:rsidR="00A44F6C" w:rsidRPr="001545AE">
        <w:rPr>
          <w:rFonts w:cstheme="minorHAnsi"/>
          <w:sz w:val="24"/>
          <w:szCs w:val="24"/>
        </w:rPr>
        <w:t xml:space="preserve">the Service </w:t>
      </w:r>
      <w:r w:rsidRPr="001545AE">
        <w:rPr>
          <w:rFonts w:cstheme="minorHAnsi"/>
          <w:sz w:val="24"/>
          <w:szCs w:val="24"/>
        </w:rPr>
        <w:t>may request the submission of a business case for the delivery of additional learning opportunities.</w:t>
      </w:r>
    </w:p>
    <w:p w14:paraId="3D4E701A" w14:textId="77777777" w:rsidR="004F4300" w:rsidRPr="001545AE" w:rsidRDefault="00594216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If existing subcontract arrangements do not allow for the delivery of appropriate programmes, or if there is a particular niche or </w:t>
      </w:r>
      <w:r w:rsidR="00CC7EF5" w:rsidRPr="001545AE">
        <w:rPr>
          <w:rFonts w:cstheme="minorHAnsi"/>
          <w:sz w:val="24"/>
          <w:szCs w:val="24"/>
        </w:rPr>
        <w:t>geographically specific</w:t>
      </w:r>
      <w:r w:rsidRPr="001545AE">
        <w:rPr>
          <w:rFonts w:cstheme="minorHAnsi"/>
          <w:sz w:val="24"/>
          <w:szCs w:val="24"/>
        </w:rPr>
        <w:t xml:space="preserve"> provision</w:t>
      </w:r>
      <w:r w:rsidR="007119C7" w:rsidRPr="001545AE">
        <w:rPr>
          <w:rFonts w:cstheme="minorHAnsi"/>
          <w:sz w:val="24"/>
          <w:szCs w:val="24"/>
        </w:rPr>
        <w:t xml:space="preserve"> </w:t>
      </w:r>
      <w:r w:rsidR="00C12BD5" w:rsidRPr="001545AE">
        <w:rPr>
          <w:rFonts w:cstheme="minorHAnsi"/>
          <w:sz w:val="24"/>
          <w:szCs w:val="24"/>
        </w:rPr>
        <w:t>required that an existing sub</w:t>
      </w:r>
      <w:r w:rsidR="000957D8" w:rsidRPr="001545AE">
        <w:rPr>
          <w:rFonts w:cstheme="minorHAnsi"/>
          <w:sz w:val="24"/>
          <w:szCs w:val="24"/>
        </w:rPr>
        <w:t>-</w:t>
      </w:r>
      <w:r w:rsidR="00C12BD5" w:rsidRPr="001545AE">
        <w:rPr>
          <w:rFonts w:cstheme="minorHAnsi"/>
          <w:sz w:val="24"/>
          <w:szCs w:val="24"/>
        </w:rPr>
        <w:t xml:space="preserve">contractor cannot fulfil, then </w:t>
      </w:r>
      <w:r w:rsidR="00A44F6C" w:rsidRPr="001545AE">
        <w:rPr>
          <w:rFonts w:cstheme="minorHAnsi"/>
          <w:sz w:val="24"/>
          <w:szCs w:val="24"/>
        </w:rPr>
        <w:t>the Service</w:t>
      </w:r>
      <w:r w:rsidR="00C12BD5" w:rsidRPr="001545AE">
        <w:rPr>
          <w:rFonts w:cstheme="minorHAnsi"/>
          <w:sz w:val="24"/>
          <w:szCs w:val="24"/>
        </w:rPr>
        <w:t xml:space="preserve"> will seek to engage new partners for the delivery of provision to meet need.</w:t>
      </w:r>
    </w:p>
    <w:p w14:paraId="052F7489" w14:textId="77777777" w:rsidR="00C12BD5" w:rsidRPr="001545AE" w:rsidRDefault="00B73D0A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Overarching Principle</w:t>
      </w:r>
    </w:p>
    <w:p w14:paraId="08964C24" w14:textId="77777777" w:rsidR="00063F11" w:rsidRPr="001545AE" w:rsidRDefault="00A44F6C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Service</w:t>
      </w:r>
      <w:r w:rsidR="00063F11" w:rsidRPr="001545AE">
        <w:rPr>
          <w:rFonts w:cstheme="minorHAnsi"/>
          <w:sz w:val="24"/>
          <w:szCs w:val="24"/>
        </w:rPr>
        <w:t xml:space="preserve"> is committed to the overarching principle to optimise the impact and effectiveness of service delivery to learners and other clients by:</w:t>
      </w:r>
    </w:p>
    <w:p w14:paraId="08F3C68A" w14:textId="77777777" w:rsidR="00063F11" w:rsidRPr="001545AE" w:rsidRDefault="00063F11" w:rsidP="007119C7">
      <w:pPr>
        <w:pStyle w:val="ListParagraph"/>
        <w:numPr>
          <w:ilvl w:val="0"/>
          <w:numId w:val="11"/>
        </w:numPr>
        <w:spacing w:line="240" w:lineRule="auto"/>
        <w:ind w:left="709" w:hanging="28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Adhering to the principles of the Ofsted </w:t>
      </w:r>
      <w:r w:rsidR="00213F6F" w:rsidRPr="001545AE">
        <w:rPr>
          <w:rFonts w:cstheme="minorHAnsi"/>
          <w:sz w:val="24"/>
          <w:szCs w:val="24"/>
        </w:rPr>
        <w:t>C</w:t>
      </w:r>
      <w:r w:rsidRPr="001545AE">
        <w:rPr>
          <w:rFonts w:cstheme="minorHAnsi"/>
          <w:sz w:val="24"/>
          <w:szCs w:val="24"/>
        </w:rPr>
        <w:t>ommon Inspection Framework</w:t>
      </w:r>
    </w:p>
    <w:p w14:paraId="0B145E39" w14:textId="77777777" w:rsidR="00063F11" w:rsidRPr="001545AE" w:rsidRDefault="00063F11" w:rsidP="007119C7">
      <w:pPr>
        <w:pStyle w:val="ListParagraph"/>
        <w:numPr>
          <w:ilvl w:val="0"/>
          <w:numId w:val="11"/>
        </w:numPr>
        <w:spacing w:line="240" w:lineRule="auto"/>
        <w:ind w:left="709" w:hanging="28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Aligning processes with the LSIS Supply Chain Management document</w:t>
      </w:r>
    </w:p>
    <w:p w14:paraId="276F6C21" w14:textId="77777777" w:rsidR="00063F11" w:rsidRPr="001545AE" w:rsidRDefault="00063F11" w:rsidP="007119C7">
      <w:pPr>
        <w:pStyle w:val="ListParagraph"/>
        <w:numPr>
          <w:ilvl w:val="0"/>
          <w:numId w:val="11"/>
        </w:numPr>
        <w:spacing w:line="240" w:lineRule="auto"/>
        <w:ind w:left="709" w:hanging="28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Undertaking fair and transparent procurement activities and conducting robust due diligence procedures</w:t>
      </w:r>
    </w:p>
    <w:p w14:paraId="7893E309" w14:textId="77777777" w:rsidR="00063F11" w:rsidRPr="001545AE" w:rsidRDefault="00063F11" w:rsidP="007119C7">
      <w:pPr>
        <w:pStyle w:val="ListParagraph"/>
        <w:numPr>
          <w:ilvl w:val="0"/>
          <w:numId w:val="11"/>
        </w:numPr>
        <w:spacing w:line="240" w:lineRule="auto"/>
        <w:ind w:left="709" w:hanging="28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Relating the management fee to the</w:t>
      </w:r>
      <w:r w:rsidR="000957D8" w:rsidRPr="001545AE">
        <w:rPr>
          <w:rFonts w:cstheme="minorHAnsi"/>
          <w:sz w:val="24"/>
          <w:szCs w:val="24"/>
        </w:rPr>
        <w:t xml:space="preserve"> costs of the services provided</w:t>
      </w:r>
    </w:p>
    <w:p w14:paraId="5C79C12F" w14:textId="77777777" w:rsidR="008710BA" w:rsidRPr="001545AE" w:rsidRDefault="00B73D0A" w:rsidP="00B73D0A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Identifying Potential Suppliers, Inviting Tender Proposals, Determining Capability and Contracting</w:t>
      </w:r>
    </w:p>
    <w:p w14:paraId="45F51E16" w14:textId="77777777" w:rsidR="00BE1216" w:rsidRPr="001545AE" w:rsidRDefault="00EC6571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Where existing providers exist within the supply chain, providers will be alerted to opportunities to bid for additional work </w:t>
      </w:r>
      <w:proofErr w:type="gramStart"/>
      <w:r w:rsidRPr="001545AE">
        <w:rPr>
          <w:rFonts w:cstheme="minorHAnsi"/>
          <w:sz w:val="24"/>
          <w:szCs w:val="24"/>
        </w:rPr>
        <w:t>on the basis of</w:t>
      </w:r>
      <w:proofErr w:type="gramEnd"/>
      <w:r w:rsidRPr="001545AE">
        <w:rPr>
          <w:rFonts w:cstheme="minorHAnsi"/>
          <w:sz w:val="24"/>
          <w:szCs w:val="24"/>
        </w:rPr>
        <w:t xml:space="preserve"> a business case. In all cases, such providers will be asked to complete a standardised questionnaire that will be assessed using pre-determined criteria. </w:t>
      </w:r>
      <w:r w:rsidR="00BE1216" w:rsidRPr="001545AE">
        <w:rPr>
          <w:rFonts w:cstheme="minorHAnsi"/>
          <w:sz w:val="24"/>
          <w:szCs w:val="24"/>
        </w:rPr>
        <w:t>This will ensure that all submissions are judged on a level footing against their own particular merits.  Providers already in the supply chain will already have passed a Pre-Qualification Questionnaire (PQQ)</w:t>
      </w:r>
      <w:r w:rsidR="00B73D0A" w:rsidRPr="001545AE">
        <w:rPr>
          <w:rFonts w:cstheme="minorHAnsi"/>
          <w:sz w:val="24"/>
          <w:szCs w:val="24"/>
        </w:rPr>
        <w:t xml:space="preserve"> </w:t>
      </w:r>
      <w:r w:rsidR="00BE1216" w:rsidRPr="001545AE">
        <w:rPr>
          <w:rFonts w:cstheme="minorHAnsi"/>
          <w:sz w:val="24"/>
          <w:szCs w:val="24"/>
        </w:rPr>
        <w:t>process and as such will already be deemed to be a suitable partner.</w:t>
      </w:r>
    </w:p>
    <w:p w14:paraId="67900F0D" w14:textId="77777777" w:rsidR="00845203" w:rsidRPr="001545AE" w:rsidRDefault="00BE1216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In addition, it may be necessary or desirable to provide opportunities for new entrants </w:t>
      </w:r>
      <w:r w:rsidR="00B73D0A" w:rsidRPr="001545AE">
        <w:rPr>
          <w:rFonts w:cstheme="minorHAnsi"/>
          <w:sz w:val="24"/>
          <w:szCs w:val="24"/>
        </w:rPr>
        <w:t>t</w:t>
      </w:r>
      <w:r w:rsidRPr="001545AE">
        <w:rPr>
          <w:rFonts w:cstheme="minorHAnsi"/>
          <w:sz w:val="24"/>
          <w:szCs w:val="24"/>
        </w:rPr>
        <w:t xml:space="preserve">o the supply chain, </w:t>
      </w:r>
      <w:proofErr w:type="gramStart"/>
      <w:r w:rsidRPr="001545AE">
        <w:rPr>
          <w:rFonts w:cstheme="minorHAnsi"/>
          <w:sz w:val="24"/>
          <w:szCs w:val="24"/>
        </w:rPr>
        <w:t>in order to</w:t>
      </w:r>
      <w:proofErr w:type="gramEnd"/>
      <w:r w:rsidRPr="001545AE">
        <w:rPr>
          <w:rFonts w:cstheme="minorHAnsi"/>
          <w:sz w:val="24"/>
          <w:szCs w:val="24"/>
        </w:rPr>
        <w:t xml:space="preserve"> further develop capacity or to address niche areas</w:t>
      </w:r>
      <w:r w:rsidR="00213F6F" w:rsidRPr="001545AE">
        <w:rPr>
          <w:rFonts w:cstheme="minorHAnsi"/>
          <w:sz w:val="24"/>
          <w:szCs w:val="24"/>
        </w:rPr>
        <w:t>,</w:t>
      </w:r>
      <w:r w:rsidRPr="001545AE">
        <w:rPr>
          <w:rFonts w:cstheme="minorHAnsi"/>
          <w:sz w:val="24"/>
          <w:szCs w:val="24"/>
        </w:rPr>
        <w:t xml:space="preserve"> as explained above. In such cases, opportunities will be advertised via the </w:t>
      </w:r>
      <w:r w:rsidR="00213F6F" w:rsidRPr="001545AE">
        <w:rPr>
          <w:rFonts w:cstheme="minorHAnsi"/>
          <w:sz w:val="24"/>
          <w:szCs w:val="24"/>
        </w:rPr>
        <w:t xml:space="preserve">DBC </w:t>
      </w:r>
      <w:r w:rsidRPr="001545AE">
        <w:rPr>
          <w:rFonts w:cstheme="minorHAnsi"/>
          <w:sz w:val="24"/>
          <w:szCs w:val="24"/>
        </w:rPr>
        <w:t xml:space="preserve">website and </w:t>
      </w:r>
      <w:r w:rsidR="00213F6F" w:rsidRPr="001545AE">
        <w:rPr>
          <w:rFonts w:cstheme="minorHAnsi"/>
          <w:sz w:val="24"/>
          <w:szCs w:val="24"/>
        </w:rPr>
        <w:t xml:space="preserve">suppliers </w:t>
      </w:r>
      <w:r w:rsidRPr="001545AE">
        <w:rPr>
          <w:rFonts w:cstheme="minorHAnsi"/>
          <w:sz w:val="24"/>
          <w:szCs w:val="24"/>
        </w:rPr>
        <w:t xml:space="preserve">will be invited in the first instance to undertake a PQQ through which their suitability as a </w:t>
      </w:r>
      <w:r w:rsidRPr="001545AE">
        <w:rPr>
          <w:rFonts w:cstheme="minorHAnsi"/>
          <w:sz w:val="24"/>
          <w:szCs w:val="24"/>
        </w:rPr>
        <w:lastRenderedPageBreak/>
        <w:t>potential bidder will be assessed.  Only if the PQQ is satisfactorily assessed will bidders be invited to take further part in the process.</w:t>
      </w:r>
    </w:p>
    <w:p w14:paraId="1C9E567E" w14:textId="77777777" w:rsidR="00BE1216" w:rsidRPr="001545AE" w:rsidRDefault="00BE1216" w:rsidP="00B73D0A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In all cases, where new or existing providers are seeking to subcontract provision from </w:t>
      </w:r>
      <w:r w:rsidR="00A44F6C" w:rsidRPr="001545AE">
        <w:rPr>
          <w:rFonts w:cstheme="minorHAnsi"/>
          <w:sz w:val="24"/>
          <w:szCs w:val="24"/>
        </w:rPr>
        <w:t>the Service</w:t>
      </w:r>
      <w:r w:rsidRPr="001545AE">
        <w:rPr>
          <w:rFonts w:cstheme="minorHAnsi"/>
          <w:sz w:val="24"/>
          <w:szCs w:val="24"/>
        </w:rPr>
        <w:t xml:space="preserve"> for the delivery of Agency programmes, a proposal will be required that will set out how the provider intends to delivery agains</w:t>
      </w:r>
      <w:r w:rsidR="006426C5" w:rsidRPr="001545AE">
        <w:rPr>
          <w:rFonts w:cstheme="minorHAnsi"/>
          <w:sz w:val="24"/>
          <w:szCs w:val="24"/>
        </w:rPr>
        <w:t xml:space="preserve">t the advertised opportunity. </w:t>
      </w:r>
      <w:r w:rsidRPr="001545AE">
        <w:rPr>
          <w:rFonts w:cstheme="minorHAnsi"/>
          <w:sz w:val="24"/>
          <w:szCs w:val="24"/>
        </w:rPr>
        <w:t>The proposal will vary depending on the size of the contract</w:t>
      </w:r>
      <w:r w:rsidR="00A44F6C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to be awarded and the nature of work to be undertaken but is likely to cover issues</w:t>
      </w:r>
      <w:r w:rsidR="00A44F6C" w:rsidRPr="001545AE">
        <w:rPr>
          <w:rFonts w:cstheme="minorHAnsi"/>
          <w:sz w:val="24"/>
          <w:szCs w:val="24"/>
        </w:rPr>
        <w:t xml:space="preserve"> </w:t>
      </w:r>
      <w:r w:rsidR="00213F6F" w:rsidRPr="001545AE">
        <w:rPr>
          <w:rFonts w:cstheme="minorHAnsi"/>
          <w:sz w:val="24"/>
          <w:szCs w:val="24"/>
        </w:rPr>
        <w:t>such as:</w:t>
      </w:r>
    </w:p>
    <w:p w14:paraId="0168E16A" w14:textId="77777777" w:rsidR="006426C5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provider’s existing provision and capability;</w:t>
      </w:r>
    </w:p>
    <w:p w14:paraId="2F9C577B" w14:textId="77777777" w:rsidR="00637CD7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business plan relating to the proposed work;</w:t>
      </w:r>
    </w:p>
    <w:p w14:paraId="1BD4D776" w14:textId="77777777" w:rsidR="00637CD7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experience of the provider in terms of management and quality assurance;</w:t>
      </w:r>
    </w:p>
    <w:p w14:paraId="4F5A9DAD" w14:textId="77777777" w:rsidR="00637CD7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proposed staffing model;</w:t>
      </w:r>
    </w:p>
    <w:p w14:paraId="625FC2D6" w14:textId="77777777" w:rsidR="00637CD7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Timelines for delivery against the contract;</w:t>
      </w:r>
    </w:p>
    <w:p w14:paraId="0EC26AC1" w14:textId="77777777" w:rsidR="00637CD7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provider’s assessment of the social value of the delivery;</w:t>
      </w:r>
    </w:p>
    <w:p w14:paraId="53862DE0" w14:textId="77777777" w:rsidR="00637CD7" w:rsidRPr="001545AE" w:rsidRDefault="00637CD7" w:rsidP="007119C7">
      <w:pPr>
        <w:pStyle w:val="ListParagraph"/>
        <w:numPr>
          <w:ilvl w:val="0"/>
          <w:numId w:val="14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Business continuity plans</w:t>
      </w:r>
    </w:p>
    <w:p w14:paraId="5D9ADA51" w14:textId="77777777" w:rsidR="00637CD7" w:rsidRPr="001545AE" w:rsidRDefault="00637CD7" w:rsidP="0065190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8B63D81" w14:textId="2407D6E1" w:rsidR="00637CD7" w:rsidRPr="001545AE" w:rsidRDefault="00637CD7" w:rsidP="00B73D0A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In keeping with the </w:t>
      </w:r>
      <w:r w:rsidR="00213F6F" w:rsidRPr="001545AE">
        <w:rPr>
          <w:rFonts w:cstheme="minorHAnsi"/>
          <w:sz w:val="24"/>
          <w:szCs w:val="24"/>
        </w:rPr>
        <w:t xml:space="preserve">2012 </w:t>
      </w:r>
      <w:r w:rsidRPr="001545AE">
        <w:rPr>
          <w:rFonts w:cstheme="minorHAnsi"/>
          <w:sz w:val="24"/>
          <w:szCs w:val="24"/>
        </w:rPr>
        <w:t>Supply Chain Management guidelines provided by LSIS, the following core components of the contract will be agreed:</w:t>
      </w:r>
    </w:p>
    <w:p w14:paraId="5BCB459C" w14:textId="77777777" w:rsidR="00717D36" w:rsidRPr="001545AE" w:rsidRDefault="00717D36" w:rsidP="00B73D0A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</w:p>
    <w:p w14:paraId="22623CCE" w14:textId="77777777" w:rsidR="007119C7" w:rsidRPr="001545AE" w:rsidRDefault="009F4E82" w:rsidP="007119C7">
      <w:pPr>
        <w:pStyle w:val="ListParagraph"/>
        <w:numPr>
          <w:ilvl w:val="0"/>
          <w:numId w:val="23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contractor profile (i.e. the f</w:t>
      </w:r>
      <w:r w:rsidR="00F4018D" w:rsidRPr="001545AE">
        <w:rPr>
          <w:rFonts w:cstheme="minorHAnsi"/>
          <w:sz w:val="24"/>
          <w:szCs w:val="24"/>
        </w:rPr>
        <w:t>inancial profile, based on the allocation profile as notified to the prime contractor by the Agency);</w:t>
      </w:r>
    </w:p>
    <w:p w14:paraId="2DC3747E" w14:textId="77777777" w:rsidR="007119C7" w:rsidRPr="001545AE" w:rsidRDefault="00F4018D" w:rsidP="007119C7">
      <w:pPr>
        <w:pStyle w:val="ListParagraph"/>
        <w:numPr>
          <w:ilvl w:val="0"/>
          <w:numId w:val="23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contractor’s duties in relation to the contract, including Key Performance Indicators (KPIs);</w:t>
      </w:r>
    </w:p>
    <w:p w14:paraId="3E58CE74" w14:textId="77777777" w:rsidR="007119C7" w:rsidRPr="001545AE" w:rsidRDefault="00F4018D" w:rsidP="007119C7">
      <w:pPr>
        <w:pStyle w:val="ListParagraph"/>
        <w:numPr>
          <w:ilvl w:val="0"/>
          <w:numId w:val="23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prime contractor’s duties in relation to the contract;</w:t>
      </w:r>
    </w:p>
    <w:p w14:paraId="6FF51952" w14:textId="77777777" w:rsidR="007119C7" w:rsidRPr="001545AE" w:rsidRDefault="007119C7" w:rsidP="007119C7">
      <w:pPr>
        <w:pStyle w:val="ListParagraph"/>
        <w:numPr>
          <w:ilvl w:val="0"/>
          <w:numId w:val="23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</w:t>
      </w:r>
      <w:r w:rsidR="00F4018D" w:rsidRPr="001545AE">
        <w:rPr>
          <w:rFonts w:cstheme="minorHAnsi"/>
          <w:sz w:val="24"/>
          <w:szCs w:val="24"/>
        </w:rPr>
        <w:t xml:space="preserve">he services offered by the prime contractor in relation to the management </w:t>
      </w:r>
      <w:r w:rsidRPr="001545AE">
        <w:rPr>
          <w:rFonts w:cstheme="minorHAnsi"/>
          <w:sz w:val="24"/>
          <w:szCs w:val="24"/>
        </w:rPr>
        <w:t>an</w:t>
      </w:r>
      <w:r w:rsidR="00F4018D" w:rsidRPr="001545AE">
        <w:rPr>
          <w:rFonts w:cstheme="minorHAnsi"/>
          <w:sz w:val="24"/>
          <w:szCs w:val="24"/>
        </w:rPr>
        <w:t>d development of the sub</w:t>
      </w:r>
      <w:r w:rsidR="000957D8" w:rsidRPr="001545AE">
        <w:rPr>
          <w:rFonts w:cstheme="minorHAnsi"/>
          <w:sz w:val="24"/>
          <w:szCs w:val="24"/>
        </w:rPr>
        <w:t>-</w:t>
      </w:r>
      <w:r w:rsidR="00F4018D" w:rsidRPr="001545AE">
        <w:rPr>
          <w:rFonts w:cstheme="minorHAnsi"/>
          <w:sz w:val="24"/>
          <w:szCs w:val="24"/>
        </w:rPr>
        <w:t>contracted work;</w:t>
      </w:r>
    </w:p>
    <w:p w14:paraId="28D94F2F" w14:textId="77777777" w:rsidR="007119C7" w:rsidRPr="001545AE" w:rsidRDefault="007119C7" w:rsidP="007119C7">
      <w:pPr>
        <w:pStyle w:val="ListParagraph"/>
        <w:numPr>
          <w:ilvl w:val="0"/>
          <w:numId w:val="23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</w:t>
      </w:r>
      <w:r w:rsidR="00F4018D" w:rsidRPr="001545AE">
        <w:rPr>
          <w:rFonts w:cstheme="minorHAnsi"/>
          <w:sz w:val="24"/>
          <w:szCs w:val="24"/>
        </w:rPr>
        <w:t>he prime contractor management and service charges based on due</w:t>
      </w:r>
      <w:r w:rsidRPr="001545AE">
        <w:rPr>
          <w:rFonts w:cstheme="minorHAnsi"/>
          <w:sz w:val="24"/>
          <w:szCs w:val="24"/>
        </w:rPr>
        <w:t xml:space="preserve"> d</w:t>
      </w:r>
      <w:r w:rsidR="00F4018D" w:rsidRPr="001545AE">
        <w:rPr>
          <w:rFonts w:cstheme="minorHAnsi"/>
          <w:sz w:val="24"/>
          <w:szCs w:val="24"/>
        </w:rPr>
        <w:t>iligence results;</w:t>
      </w:r>
    </w:p>
    <w:p w14:paraId="33BF833C" w14:textId="77777777" w:rsidR="00F4018D" w:rsidRPr="001545AE" w:rsidRDefault="000957D8" w:rsidP="007119C7">
      <w:pPr>
        <w:pStyle w:val="ListParagraph"/>
        <w:numPr>
          <w:ilvl w:val="0"/>
          <w:numId w:val="23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contact volume and value</w:t>
      </w:r>
    </w:p>
    <w:p w14:paraId="551A615F" w14:textId="02C47A9B" w:rsidR="00C668AC" w:rsidRPr="001545AE" w:rsidRDefault="00C668AC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contract will be signed by approved representatives of both parties and will be subject to on-going amendment to reflect in-year changes to </w:t>
      </w:r>
      <w:r w:rsidR="00717D36" w:rsidRPr="001545AE">
        <w:rPr>
          <w:rFonts w:cstheme="minorHAnsi"/>
          <w:sz w:val="24"/>
          <w:szCs w:val="24"/>
        </w:rPr>
        <w:t>ESFA or TVC</w:t>
      </w:r>
      <w:r w:rsidR="00C624DF" w:rsidRPr="001545AE">
        <w:rPr>
          <w:rFonts w:cstheme="minorHAnsi"/>
          <w:sz w:val="24"/>
          <w:szCs w:val="24"/>
        </w:rPr>
        <w:t xml:space="preserve">A </w:t>
      </w:r>
      <w:r w:rsidRPr="001545AE">
        <w:rPr>
          <w:rFonts w:cstheme="minorHAnsi"/>
          <w:sz w:val="24"/>
          <w:szCs w:val="24"/>
        </w:rPr>
        <w:t>Funding Rules.</w:t>
      </w:r>
    </w:p>
    <w:p w14:paraId="70166BC6" w14:textId="1C0974A7" w:rsidR="00C668AC" w:rsidRPr="001545AE" w:rsidRDefault="00C668AC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To ensure that the contracts are framed appropriately with the law and within the </w:t>
      </w:r>
      <w:r w:rsidR="007119C7" w:rsidRPr="001545AE">
        <w:rPr>
          <w:rFonts w:cstheme="minorHAnsi"/>
          <w:sz w:val="24"/>
          <w:szCs w:val="24"/>
        </w:rPr>
        <w:t>r</w:t>
      </w:r>
      <w:r w:rsidRPr="001545AE">
        <w:rPr>
          <w:rFonts w:cstheme="minorHAnsi"/>
          <w:sz w:val="24"/>
          <w:szCs w:val="24"/>
        </w:rPr>
        <w:t xml:space="preserve">equirements of the </w:t>
      </w:r>
      <w:r w:rsidR="00717D36" w:rsidRPr="001545AE">
        <w:rPr>
          <w:rFonts w:cstheme="minorHAnsi"/>
          <w:sz w:val="24"/>
          <w:szCs w:val="24"/>
        </w:rPr>
        <w:t>ESFA or TVCA</w:t>
      </w:r>
      <w:r w:rsidRPr="001545AE">
        <w:rPr>
          <w:rFonts w:cstheme="minorHAnsi"/>
          <w:sz w:val="24"/>
          <w:szCs w:val="24"/>
        </w:rPr>
        <w:t>, they will be checked by a legal adviser prior to final approval and signing.</w:t>
      </w:r>
    </w:p>
    <w:p w14:paraId="27318B35" w14:textId="77777777" w:rsidR="003F3648" w:rsidRPr="001545AE" w:rsidRDefault="00B73D0A" w:rsidP="0065190C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Performance Management</w:t>
      </w:r>
    </w:p>
    <w:p w14:paraId="32B648E5" w14:textId="77777777" w:rsidR="003F3648" w:rsidRPr="001545AE" w:rsidRDefault="003F3648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 xml:space="preserve">contracted providers will be expected to meet </w:t>
      </w:r>
      <w:r w:rsidR="00A44F6C" w:rsidRPr="001545AE">
        <w:rPr>
          <w:rFonts w:cstheme="minorHAnsi"/>
          <w:sz w:val="24"/>
          <w:szCs w:val="24"/>
        </w:rPr>
        <w:t xml:space="preserve">the Service’s </w:t>
      </w:r>
      <w:r w:rsidRPr="001545AE">
        <w:rPr>
          <w:rFonts w:cstheme="minorHAnsi"/>
          <w:sz w:val="24"/>
          <w:szCs w:val="24"/>
        </w:rPr>
        <w:t>quality assurance standards</w:t>
      </w:r>
      <w:r w:rsidR="00213F6F" w:rsidRPr="001545AE">
        <w:rPr>
          <w:rFonts w:cstheme="minorHAnsi"/>
          <w:sz w:val="24"/>
          <w:szCs w:val="24"/>
        </w:rPr>
        <w:t xml:space="preserve">.  This </w:t>
      </w:r>
      <w:r w:rsidR="00A44F6C" w:rsidRPr="001545AE">
        <w:rPr>
          <w:rFonts w:cstheme="minorHAnsi"/>
          <w:sz w:val="24"/>
          <w:szCs w:val="24"/>
        </w:rPr>
        <w:t xml:space="preserve">Service </w:t>
      </w:r>
      <w:r w:rsidR="001F35DB" w:rsidRPr="001545AE">
        <w:rPr>
          <w:rFonts w:cstheme="minorHAnsi"/>
          <w:sz w:val="24"/>
          <w:szCs w:val="24"/>
        </w:rPr>
        <w:t xml:space="preserve">being committed to supporting, developing and sharing good practice and professional development of staff through </w:t>
      </w:r>
      <w:r w:rsidR="00213F6F" w:rsidRPr="001545AE">
        <w:rPr>
          <w:rFonts w:cstheme="minorHAnsi"/>
          <w:sz w:val="24"/>
          <w:szCs w:val="24"/>
        </w:rPr>
        <w:t>CPD training, reviews</w:t>
      </w:r>
      <w:r w:rsidR="001F35DB" w:rsidRPr="001545AE">
        <w:rPr>
          <w:rFonts w:cstheme="minorHAnsi"/>
          <w:sz w:val="24"/>
          <w:szCs w:val="24"/>
        </w:rPr>
        <w:t>, operational</w:t>
      </w:r>
      <w:r w:rsidR="00213F6F" w:rsidRPr="001545AE">
        <w:rPr>
          <w:rFonts w:cstheme="minorHAnsi"/>
          <w:sz w:val="24"/>
          <w:szCs w:val="24"/>
        </w:rPr>
        <w:t xml:space="preserve"> </w:t>
      </w:r>
      <w:r w:rsidR="001F35DB" w:rsidRPr="001545AE">
        <w:rPr>
          <w:rFonts w:cstheme="minorHAnsi"/>
          <w:sz w:val="24"/>
          <w:szCs w:val="24"/>
        </w:rPr>
        <w:t>meetings, observations of teaching</w:t>
      </w:r>
      <w:r w:rsidR="00213F6F" w:rsidRPr="001545AE">
        <w:rPr>
          <w:rFonts w:cstheme="minorHAnsi"/>
          <w:sz w:val="24"/>
          <w:szCs w:val="24"/>
        </w:rPr>
        <w:t>,</w:t>
      </w:r>
      <w:r w:rsidR="001F35DB" w:rsidRPr="001545AE">
        <w:rPr>
          <w:rFonts w:cstheme="minorHAnsi"/>
          <w:sz w:val="24"/>
          <w:szCs w:val="24"/>
        </w:rPr>
        <w:t xml:space="preserve"> learning</w:t>
      </w:r>
      <w:r w:rsidR="00213F6F" w:rsidRPr="001545AE">
        <w:rPr>
          <w:rFonts w:cstheme="minorHAnsi"/>
          <w:sz w:val="24"/>
          <w:szCs w:val="24"/>
        </w:rPr>
        <w:t xml:space="preserve"> and assessment and learner, staff, partner and </w:t>
      </w:r>
      <w:r w:rsidR="001F35DB" w:rsidRPr="001545AE">
        <w:rPr>
          <w:rFonts w:cstheme="minorHAnsi"/>
          <w:sz w:val="24"/>
          <w:szCs w:val="24"/>
        </w:rPr>
        <w:t>employer feedback</w:t>
      </w:r>
      <w:r w:rsidR="000957D8" w:rsidRPr="001545AE">
        <w:rPr>
          <w:rFonts w:cstheme="minorHAnsi"/>
          <w:sz w:val="24"/>
          <w:szCs w:val="24"/>
        </w:rPr>
        <w:t>.</w:t>
      </w:r>
    </w:p>
    <w:p w14:paraId="16174E76" w14:textId="77777777" w:rsidR="00E56325" w:rsidRPr="001545AE" w:rsidRDefault="001F35DB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lastRenderedPageBreak/>
        <w:t>The quality of the provision will be monitored and manage</w:t>
      </w:r>
      <w:r w:rsidR="0013400C" w:rsidRPr="001545AE">
        <w:rPr>
          <w:rFonts w:cstheme="minorHAnsi"/>
          <w:sz w:val="24"/>
          <w:szCs w:val="24"/>
        </w:rPr>
        <w:t>d</w:t>
      </w:r>
      <w:r w:rsidRPr="001545AE">
        <w:rPr>
          <w:rFonts w:cstheme="minorHAnsi"/>
          <w:sz w:val="24"/>
          <w:szCs w:val="24"/>
        </w:rPr>
        <w:t xml:space="preserve"> through </w:t>
      </w:r>
      <w:r w:rsidR="0013400C" w:rsidRPr="001545AE">
        <w:rPr>
          <w:rFonts w:cstheme="minorHAnsi"/>
          <w:sz w:val="24"/>
          <w:szCs w:val="24"/>
        </w:rPr>
        <w:t xml:space="preserve">the </w:t>
      </w:r>
      <w:r w:rsidR="00A44F6C" w:rsidRPr="001545AE">
        <w:rPr>
          <w:rFonts w:cstheme="minorHAnsi"/>
          <w:sz w:val="24"/>
          <w:szCs w:val="24"/>
        </w:rPr>
        <w:t>Service</w:t>
      </w:r>
      <w:r w:rsidRPr="001545AE">
        <w:rPr>
          <w:rFonts w:cstheme="minorHAnsi"/>
          <w:sz w:val="24"/>
          <w:szCs w:val="24"/>
        </w:rPr>
        <w:t xml:space="preserve">’s existing quality framework with the </w:t>
      </w:r>
      <w:r w:rsidR="007119C7" w:rsidRPr="001545AE">
        <w:rPr>
          <w:rFonts w:cstheme="minorHAnsi"/>
          <w:sz w:val="24"/>
          <w:szCs w:val="24"/>
        </w:rPr>
        <w:t>Self-Assessment</w:t>
      </w:r>
      <w:r w:rsidRPr="001545AE">
        <w:rPr>
          <w:rFonts w:cstheme="minorHAnsi"/>
          <w:sz w:val="24"/>
          <w:szCs w:val="24"/>
        </w:rPr>
        <w:t xml:space="preserve"> Report</w:t>
      </w:r>
      <w:r w:rsidR="000957D8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/</w:t>
      </w:r>
      <w:r w:rsidR="000957D8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Quality Improvement Plan process ensuring continuous improvement</w:t>
      </w:r>
      <w:r w:rsidR="0013400C" w:rsidRPr="001545AE">
        <w:rPr>
          <w:rFonts w:cstheme="minorHAnsi"/>
          <w:sz w:val="24"/>
          <w:szCs w:val="24"/>
        </w:rPr>
        <w:t>.</w:t>
      </w:r>
    </w:p>
    <w:p w14:paraId="1729D378" w14:textId="77777777" w:rsidR="00EC6571" w:rsidRPr="001545AE" w:rsidRDefault="00EC6571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following principles guide t</w:t>
      </w:r>
      <w:r w:rsidR="0013400C" w:rsidRPr="001545AE">
        <w:rPr>
          <w:rFonts w:cstheme="minorHAnsi"/>
          <w:sz w:val="24"/>
          <w:szCs w:val="24"/>
        </w:rPr>
        <w:t>he quality improvement process:</w:t>
      </w:r>
    </w:p>
    <w:p w14:paraId="3AA26AD3" w14:textId="77777777" w:rsidR="00EC6571" w:rsidRPr="001545AE" w:rsidRDefault="00EC6571" w:rsidP="007119C7">
      <w:pPr>
        <w:pStyle w:val="ListParagraph"/>
        <w:numPr>
          <w:ilvl w:val="0"/>
          <w:numId w:val="16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It is collaborative with a focus on driving continuous improvement</w:t>
      </w:r>
    </w:p>
    <w:p w14:paraId="03E8FE64" w14:textId="77777777" w:rsidR="00EC6571" w:rsidRPr="001545AE" w:rsidRDefault="00EC6571" w:rsidP="007119C7">
      <w:pPr>
        <w:pStyle w:val="ListParagraph"/>
        <w:numPr>
          <w:ilvl w:val="0"/>
          <w:numId w:val="16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It is flexible t</w:t>
      </w:r>
      <w:r w:rsidR="0013400C" w:rsidRPr="001545AE">
        <w:rPr>
          <w:rFonts w:cstheme="minorHAnsi"/>
          <w:sz w:val="24"/>
          <w:szCs w:val="24"/>
        </w:rPr>
        <w:t>o meet the needs of a range of l</w:t>
      </w:r>
      <w:r w:rsidRPr="001545AE">
        <w:rPr>
          <w:rFonts w:cstheme="minorHAnsi"/>
          <w:sz w:val="24"/>
          <w:szCs w:val="24"/>
        </w:rPr>
        <w:t xml:space="preserve">earners, </w:t>
      </w:r>
      <w:r w:rsidR="0013400C" w:rsidRPr="001545AE">
        <w:rPr>
          <w:rFonts w:cstheme="minorHAnsi"/>
          <w:sz w:val="24"/>
          <w:szCs w:val="24"/>
        </w:rPr>
        <w:t>e</w:t>
      </w:r>
      <w:r w:rsidRPr="001545AE">
        <w:rPr>
          <w:rFonts w:cstheme="minorHAnsi"/>
          <w:sz w:val="24"/>
          <w:szCs w:val="24"/>
        </w:rPr>
        <w:t xml:space="preserve">mployers and </w:t>
      </w:r>
      <w:r w:rsidR="0013400C" w:rsidRPr="001545AE">
        <w:rPr>
          <w:rFonts w:cstheme="minorHAnsi"/>
          <w:sz w:val="24"/>
          <w:szCs w:val="24"/>
        </w:rPr>
        <w:t>c</w:t>
      </w:r>
      <w:r w:rsidRPr="001545AE">
        <w:rPr>
          <w:rFonts w:cstheme="minorHAnsi"/>
          <w:sz w:val="24"/>
          <w:szCs w:val="24"/>
        </w:rPr>
        <w:t>ommunities</w:t>
      </w:r>
    </w:p>
    <w:p w14:paraId="1C73FEB9" w14:textId="77777777" w:rsidR="00EC6571" w:rsidRPr="001545AE" w:rsidRDefault="00EC6571" w:rsidP="007119C7">
      <w:pPr>
        <w:pStyle w:val="ListParagraph"/>
        <w:numPr>
          <w:ilvl w:val="0"/>
          <w:numId w:val="16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It promotes and open, honest and critical appraisal of learning provision</w:t>
      </w:r>
    </w:p>
    <w:p w14:paraId="28FFC21F" w14:textId="77777777" w:rsidR="00EC6571" w:rsidRPr="001545AE" w:rsidRDefault="00EC6571" w:rsidP="007119C7">
      <w:pPr>
        <w:pStyle w:val="ListParagraph"/>
        <w:numPr>
          <w:ilvl w:val="0"/>
          <w:numId w:val="16"/>
        </w:numPr>
        <w:spacing w:line="240" w:lineRule="auto"/>
        <w:ind w:left="851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It supports the Ofsted and </w:t>
      </w:r>
      <w:r w:rsidR="0013400C" w:rsidRPr="001545AE">
        <w:rPr>
          <w:rFonts w:cstheme="minorHAnsi"/>
          <w:sz w:val="24"/>
          <w:szCs w:val="24"/>
        </w:rPr>
        <w:t>Matrix</w:t>
      </w:r>
      <w:r w:rsidRPr="001545AE">
        <w:rPr>
          <w:rFonts w:cstheme="minorHAnsi"/>
          <w:sz w:val="24"/>
          <w:szCs w:val="24"/>
        </w:rPr>
        <w:t xml:space="preserve"> guiding principles for high quality provision</w:t>
      </w:r>
    </w:p>
    <w:p w14:paraId="76C6DA9A" w14:textId="77777777" w:rsidR="00EC6571" w:rsidRPr="001545AE" w:rsidRDefault="00213F6F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</w:t>
      </w:r>
      <w:r w:rsidR="00A44F6C" w:rsidRPr="001545AE">
        <w:rPr>
          <w:rFonts w:cstheme="minorHAnsi"/>
          <w:sz w:val="24"/>
          <w:szCs w:val="24"/>
        </w:rPr>
        <w:t xml:space="preserve"> Service</w:t>
      </w:r>
      <w:r w:rsidR="00EC6571" w:rsidRPr="001545AE">
        <w:rPr>
          <w:rFonts w:cstheme="minorHAnsi"/>
          <w:sz w:val="24"/>
          <w:szCs w:val="24"/>
        </w:rPr>
        <w:t>’s quality assurance is underpinned by a series of set actions and processes throughout the</w:t>
      </w:r>
      <w:r w:rsidR="0013400C" w:rsidRPr="001545AE">
        <w:rPr>
          <w:rFonts w:cstheme="minorHAnsi"/>
          <w:sz w:val="24"/>
          <w:szCs w:val="24"/>
        </w:rPr>
        <w:t xml:space="preserve"> academic year.  These include:</w:t>
      </w:r>
    </w:p>
    <w:p w14:paraId="45BD40C1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Undertaking annual </w:t>
      </w:r>
      <w:r w:rsidR="007119C7" w:rsidRPr="001545AE">
        <w:rPr>
          <w:rFonts w:cstheme="minorHAnsi"/>
          <w:sz w:val="24"/>
          <w:szCs w:val="24"/>
        </w:rPr>
        <w:t>Self-Assessment</w:t>
      </w:r>
      <w:r w:rsidRPr="001545AE">
        <w:rPr>
          <w:rFonts w:cstheme="minorHAnsi"/>
          <w:sz w:val="24"/>
          <w:szCs w:val="24"/>
        </w:rPr>
        <w:t xml:space="preserve"> Report (SAR) and Quality Improvement Plan (QIP) and receiving progress reports in line with Ofsted and </w:t>
      </w:r>
      <w:r w:rsidR="0013400C" w:rsidRPr="001545AE">
        <w:rPr>
          <w:rFonts w:cstheme="minorHAnsi"/>
          <w:sz w:val="24"/>
          <w:szCs w:val="24"/>
        </w:rPr>
        <w:t>Matrix</w:t>
      </w:r>
    </w:p>
    <w:p w14:paraId="0869FADE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Ensuring that the actions contained within </w:t>
      </w:r>
      <w:r w:rsidR="0013400C" w:rsidRPr="001545AE">
        <w:rPr>
          <w:rFonts w:cstheme="minorHAnsi"/>
          <w:sz w:val="24"/>
          <w:szCs w:val="24"/>
        </w:rPr>
        <w:t xml:space="preserve">the </w:t>
      </w:r>
      <w:r w:rsidRPr="001545AE">
        <w:rPr>
          <w:rFonts w:cstheme="minorHAnsi"/>
          <w:sz w:val="24"/>
          <w:szCs w:val="24"/>
        </w:rPr>
        <w:t>QIP are implemented</w:t>
      </w:r>
    </w:p>
    <w:p w14:paraId="64C9C673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Reviewing participation, retention and achievement rates, and performance </w:t>
      </w:r>
      <w:r w:rsidR="00CC7EF5" w:rsidRPr="001545AE">
        <w:rPr>
          <w:rFonts w:cstheme="minorHAnsi"/>
          <w:sz w:val="24"/>
          <w:szCs w:val="24"/>
        </w:rPr>
        <w:t>o</w:t>
      </w:r>
      <w:r w:rsidRPr="001545AE">
        <w:rPr>
          <w:rFonts w:cstheme="minorHAnsi"/>
          <w:sz w:val="24"/>
          <w:szCs w:val="24"/>
        </w:rPr>
        <w:t xml:space="preserve">f </w:t>
      </w:r>
      <w:r w:rsidR="0013400C" w:rsidRPr="001545AE">
        <w:rPr>
          <w:rFonts w:cstheme="minorHAnsi"/>
          <w:sz w:val="24"/>
          <w:szCs w:val="24"/>
        </w:rPr>
        <w:t>providers</w:t>
      </w:r>
    </w:p>
    <w:p w14:paraId="2BCF25A3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Periodically receiving QIP progress reports</w:t>
      </w:r>
    </w:p>
    <w:p w14:paraId="44E39B5B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Delivering services in accordance with national policy and strategy</w:t>
      </w:r>
    </w:p>
    <w:p w14:paraId="6ACBD44A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Monitoring and analysing performance data</w:t>
      </w:r>
    </w:p>
    <w:p w14:paraId="289BF9BE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Monitoring progress against external standards e.g. Ofsted Common Inspection Framework, </w:t>
      </w:r>
      <w:r w:rsidR="0013400C" w:rsidRPr="001545AE">
        <w:rPr>
          <w:rFonts w:cstheme="minorHAnsi"/>
          <w:sz w:val="24"/>
          <w:szCs w:val="24"/>
        </w:rPr>
        <w:t>Matrix</w:t>
      </w:r>
    </w:p>
    <w:p w14:paraId="02C8C65E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Reviewing the quality and efficacy of all aspects of the learner journey</w:t>
      </w:r>
    </w:p>
    <w:p w14:paraId="6B6EBD8B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Analysis of learner ‘take-up’ and progress</w:t>
      </w:r>
    </w:p>
    <w:p w14:paraId="126A5C96" w14:textId="77777777" w:rsidR="00EC6571" w:rsidRPr="001545AE" w:rsidRDefault="00EC6571" w:rsidP="007119C7">
      <w:pPr>
        <w:pStyle w:val="ListParagraph"/>
        <w:numPr>
          <w:ilvl w:val="0"/>
          <w:numId w:val="17"/>
        </w:numPr>
        <w:spacing w:line="240" w:lineRule="auto"/>
        <w:ind w:left="851" w:hanging="643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Impact and destination tracking</w:t>
      </w:r>
    </w:p>
    <w:p w14:paraId="156E9DDE" w14:textId="77777777" w:rsidR="00EC6571" w:rsidRPr="001545AE" w:rsidRDefault="00EC6571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In addition to desktop and </w:t>
      </w:r>
      <w:r w:rsidR="007119C7" w:rsidRPr="001545AE">
        <w:rPr>
          <w:rFonts w:cstheme="minorHAnsi"/>
          <w:sz w:val="24"/>
          <w:szCs w:val="24"/>
        </w:rPr>
        <w:t>data-based</w:t>
      </w:r>
      <w:r w:rsidRPr="001545AE">
        <w:rPr>
          <w:rFonts w:cstheme="minorHAnsi"/>
          <w:sz w:val="24"/>
          <w:szCs w:val="24"/>
        </w:rPr>
        <w:t xml:space="preserve"> analysis </w:t>
      </w:r>
      <w:r w:rsidR="004819CB" w:rsidRPr="001545AE">
        <w:rPr>
          <w:rFonts w:cstheme="minorHAnsi"/>
          <w:sz w:val="24"/>
          <w:szCs w:val="24"/>
        </w:rPr>
        <w:t xml:space="preserve">of performance linked to a provider dialogue, </w:t>
      </w:r>
      <w:r w:rsidR="00213F6F" w:rsidRPr="001545AE">
        <w:rPr>
          <w:rFonts w:cstheme="minorHAnsi"/>
          <w:sz w:val="24"/>
          <w:szCs w:val="24"/>
        </w:rPr>
        <w:t xml:space="preserve">the </w:t>
      </w:r>
      <w:r w:rsidR="00A44F6C" w:rsidRPr="001545AE">
        <w:rPr>
          <w:rFonts w:cstheme="minorHAnsi"/>
          <w:sz w:val="24"/>
          <w:szCs w:val="24"/>
        </w:rPr>
        <w:t xml:space="preserve">Service </w:t>
      </w:r>
      <w:r w:rsidR="004819CB" w:rsidRPr="001545AE">
        <w:rPr>
          <w:rFonts w:cstheme="minorHAnsi"/>
          <w:sz w:val="24"/>
          <w:szCs w:val="24"/>
        </w:rPr>
        <w:t xml:space="preserve">will conduct </w:t>
      </w:r>
      <w:r w:rsidR="000957D8" w:rsidRPr="001545AE">
        <w:rPr>
          <w:rFonts w:cstheme="minorHAnsi"/>
          <w:sz w:val="24"/>
          <w:szCs w:val="24"/>
        </w:rPr>
        <w:t>classroom-based</w:t>
      </w:r>
      <w:r w:rsidR="004819CB" w:rsidRPr="001545AE">
        <w:rPr>
          <w:rFonts w:cstheme="minorHAnsi"/>
          <w:sz w:val="24"/>
          <w:szCs w:val="24"/>
        </w:rPr>
        <w:t xml:space="preserve"> observations of</w:t>
      </w:r>
      <w:r w:rsidR="000957D8" w:rsidRPr="001545AE">
        <w:rPr>
          <w:rFonts w:cstheme="minorHAnsi"/>
          <w:sz w:val="24"/>
          <w:szCs w:val="24"/>
        </w:rPr>
        <w:t xml:space="preserve"> learning,</w:t>
      </w:r>
      <w:r w:rsidR="004819CB" w:rsidRPr="001545AE">
        <w:rPr>
          <w:rFonts w:cstheme="minorHAnsi"/>
          <w:sz w:val="24"/>
          <w:szCs w:val="24"/>
        </w:rPr>
        <w:t xml:space="preserve"> teaching</w:t>
      </w:r>
      <w:r w:rsidR="0013400C" w:rsidRPr="001545AE">
        <w:rPr>
          <w:rFonts w:cstheme="minorHAnsi"/>
          <w:sz w:val="24"/>
          <w:szCs w:val="24"/>
        </w:rPr>
        <w:t xml:space="preserve"> and assessment</w:t>
      </w:r>
      <w:r w:rsidR="004819CB" w:rsidRPr="001545AE">
        <w:rPr>
          <w:rFonts w:cstheme="minorHAnsi"/>
          <w:sz w:val="24"/>
          <w:szCs w:val="24"/>
        </w:rPr>
        <w:t xml:space="preserve">.  The aim of the observation is to be supportive and developmental for tutors and </w:t>
      </w:r>
      <w:r w:rsidR="0013400C" w:rsidRPr="001545AE">
        <w:rPr>
          <w:rFonts w:cstheme="minorHAnsi"/>
          <w:sz w:val="24"/>
          <w:szCs w:val="24"/>
        </w:rPr>
        <w:t>trainers</w:t>
      </w:r>
      <w:r w:rsidR="004819CB" w:rsidRPr="001545AE">
        <w:rPr>
          <w:rFonts w:cstheme="minorHAnsi"/>
          <w:sz w:val="24"/>
          <w:szCs w:val="24"/>
        </w:rPr>
        <w:t xml:space="preserve"> to raise the quality of learning </w:t>
      </w:r>
      <w:r w:rsidR="0013400C" w:rsidRPr="001545AE">
        <w:rPr>
          <w:rFonts w:cstheme="minorHAnsi"/>
          <w:sz w:val="24"/>
          <w:szCs w:val="24"/>
        </w:rPr>
        <w:t>and to maximise outcomes for learners.</w:t>
      </w:r>
    </w:p>
    <w:p w14:paraId="4FAB0A0A" w14:textId="77777777" w:rsidR="004819CB" w:rsidRPr="001545AE" w:rsidRDefault="004819CB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Tutors and </w:t>
      </w:r>
      <w:r w:rsidR="0013400C" w:rsidRPr="001545AE">
        <w:rPr>
          <w:rFonts w:cstheme="minorHAnsi"/>
          <w:sz w:val="24"/>
          <w:szCs w:val="24"/>
        </w:rPr>
        <w:t>trainer</w:t>
      </w:r>
      <w:r w:rsidRPr="001545AE">
        <w:rPr>
          <w:rFonts w:cstheme="minorHAnsi"/>
          <w:sz w:val="24"/>
          <w:szCs w:val="24"/>
        </w:rPr>
        <w:t xml:space="preserve">s will be observed at least once a year by the </w:t>
      </w:r>
      <w:r w:rsidR="00A44F6C" w:rsidRPr="001545AE">
        <w:rPr>
          <w:rFonts w:cstheme="minorHAnsi"/>
          <w:sz w:val="24"/>
          <w:szCs w:val="24"/>
        </w:rPr>
        <w:t>Service</w:t>
      </w:r>
      <w:r w:rsidR="00213F6F" w:rsidRPr="001545AE">
        <w:rPr>
          <w:rFonts w:cstheme="minorHAnsi"/>
          <w:sz w:val="24"/>
          <w:szCs w:val="24"/>
        </w:rPr>
        <w:t>’s</w:t>
      </w:r>
      <w:r w:rsidRPr="001545AE">
        <w:rPr>
          <w:rFonts w:cstheme="minorHAnsi"/>
          <w:sz w:val="24"/>
          <w:szCs w:val="24"/>
        </w:rPr>
        <w:t xml:space="preserve"> observation team</w:t>
      </w:r>
      <w:r w:rsidR="002F6D35" w:rsidRPr="001545AE">
        <w:rPr>
          <w:rFonts w:cstheme="minorHAnsi"/>
          <w:sz w:val="24"/>
          <w:szCs w:val="24"/>
        </w:rPr>
        <w:t>.</w:t>
      </w:r>
      <w:r w:rsidRPr="001545AE">
        <w:rPr>
          <w:rFonts w:cstheme="minorHAnsi"/>
          <w:sz w:val="24"/>
          <w:szCs w:val="24"/>
        </w:rPr>
        <w:t xml:space="preserve"> New tutors and assessors will be observed within </w:t>
      </w:r>
      <w:r w:rsidR="0013400C" w:rsidRPr="001545AE">
        <w:rPr>
          <w:rFonts w:cstheme="minorHAnsi"/>
          <w:sz w:val="24"/>
          <w:szCs w:val="24"/>
        </w:rPr>
        <w:t>six</w:t>
      </w:r>
      <w:r w:rsidRPr="001545AE">
        <w:rPr>
          <w:rFonts w:cstheme="minorHAnsi"/>
          <w:sz w:val="24"/>
          <w:szCs w:val="24"/>
        </w:rPr>
        <w:t xml:space="preserve"> months of starting work on the </w:t>
      </w:r>
      <w:r w:rsidR="00A44F6C" w:rsidRPr="001545AE">
        <w:rPr>
          <w:rFonts w:cstheme="minorHAnsi"/>
          <w:sz w:val="24"/>
          <w:szCs w:val="24"/>
        </w:rPr>
        <w:t xml:space="preserve">Darlington Borough Council Learning &amp; Skills Service </w:t>
      </w:r>
      <w:r w:rsidRPr="001545AE">
        <w:rPr>
          <w:rFonts w:cstheme="minorHAnsi"/>
          <w:sz w:val="24"/>
          <w:szCs w:val="24"/>
        </w:rPr>
        <w:t>contract</w:t>
      </w:r>
      <w:r w:rsidR="002F6D35" w:rsidRPr="001545AE">
        <w:rPr>
          <w:rFonts w:cstheme="minorHAnsi"/>
          <w:sz w:val="24"/>
          <w:szCs w:val="24"/>
        </w:rPr>
        <w:t xml:space="preserve">. All tutors and </w:t>
      </w:r>
      <w:r w:rsidR="0013400C" w:rsidRPr="001545AE">
        <w:rPr>
          <w:rFonts w:cstheme="minorHAnsi"/>
          <w:sz w:val="24"/>
          <w:szCs w:val="24"/>
        </w:rPr>
        <w:t>trainers</w:t>
      </w:r>
      <w:r w:rsidR="002F6D35" w:rsidRPr="001545AE">
        <w:rPr>
          <w:rFonts w:cstheme="minorHAnsi"/>
          <w:sz w:val="24"/>
          <w:szCs w:val="24"/>
        </w:rPr>
        <w:t xml:space="preserve"> awarded grade 3 will be given short-term targets and will be re-observed</w:t>
      </w:r>
      <w:r w:rsidR="0013400C" w:rsidRPr="001545AE">
        <w:rPr>
          <w:rFonts w:cstheme="minorHAnsi"/>
          <w:sz w:val="24"/>
          <w:szCs w:val="24"/>
        </w:rPr>
        <w:t xml:space="preserve"> more frequently.  For tutors awarded grade 4 there will be an additional observation within three weeks.</w:t>
      </w:r>
    </w:p>
    <w:p w14:paraId="6FAD0AE8" w14:textId="77777777" w:rsidR="002F6D35" w:rsidRPr="001545AE" w:rsidRDefault="002F6D35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A clear set of observation criteria will be shared with all tutors and </w:t>
      </w:r>
      <w:r w:rsidR="0013400C" w:rsidRPr="001545AE">
        <w:rPr>
          <w:rFonts w:cstheme="minorHAnsi"/>
          <w:sz w:val="24"/>
          <w:szCs w:val="24"/>
        </w:rPr>
        <w:t>trainers</w:t>
      </w:r>
      <w:r w:rsidRPr="001545AE">
        <w:rPr>
          <w:rFonts w:cstheme="minorHAnsi"/>
          <w:sz w:val="24"/>
          <w:szCs w:val="24"/>
        </w:rPr>
        <w:t>.  These criteria will be updated</w:t>
      </w:r>
      <w:r w:rsidR="0013400C" w:rsidRPr="001545AE">
        <w:rPr>
          <w:rFonts w:cstheme="minorHAnsi"/>
          <w:sz w:val="24"/>
          <w:szCs w:val="24"/>
        </w:rPr>
        <w:t xml:space="preserve"> when appropriate</w:t>
      </w:r>
      <w:r w:rsidRPr="001545AE">
        <w:rPr>
          <w:rFonts w:cstheme="minorHAnsi"/>
          <w:sz w:val="24"/>
          <w:szCs w:val="24"/>
        </w:rPr>
        <w:t xml:space="preserve"> (to reflect</w:t>
      </w:r>
      <w:r w:rsidR="0013400C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improvements and changing Ofsted emphasis) and charged in the interests of</w:t>
      </w:r>
      <w:r w:rsidR="0013400C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openness and integrity.</w:t>
      </w:r>
    </w:p>
    <w:p w14:paraId="5C8847FC" w14:textId="77777777" w:rsidR="002F6D35" w:rsidRPr="001545AE" w:rsidRDefault="00B73D0A" w:rsidP="0065190C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Risk Assessment</w:t>
      </w:r>
    </w:p>
    <w:p w14:paraId="733E895A" w14:textId="77777777" w:rsidR="002F6D35" w:rsidRPr="001545AE" w:rsidRDefault="002F6D35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Prior to the agreement of the initial contract, any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 xml:space="preserve"> will be subject to a risk assessment that will seek to identify the major thre</w:t>
      </w:r>
      <w:r w:rsidR="007119C7" w:rsidRPr="001545AE">
        <w:rPr>
          <w:rFonts w:cstheme="minorHAnsi"/>
          <w:sz w:val="24"/>
          <w:szCs w:val="24"/>
        </w:rPr>
        <w:t xml:space="preserve">ats to the successful delivery </w:t>
      </w:r>
      <w:r w:rsidRPr="001545AE">
        <w:rPr>
          <w:rFonts w:cstheme="minorHAnsi"/>
          <w:sz w:val="24"/>
          <w:szCs w:val="24"/>
        </w:rPr>
        <w:t xml:space="preserve">of the </w:t>
      </w:r>
      <w:r w:rsidRPr="001545AE">
        <w:rPr>
          <w:rFonts w:cstheme="minorHAnsi"/>
          <w:sz w:val="24"/>
          <w:szCs w:val="24"/>
        </w:rPr>
        <w:lastRenderedPageBreak/>
        <w:t>contract and will therefore inform the approach to performance managem</w:t>
      </w:r>
      <w:r w:rsidR="007119C7" w:rsidRPr="001545AE">
        <w:rPr>
          <w:rFonts w:cstheme="minorHAnsi"/>
          <w:sz w:val="24"/>
          <w:szCs w:val="24"/>
        </w:rPr>
        <w:t xml:space="preserve">ent </w:t>
      </w:r>
      <w:r w:rsidR="0013400C" w:rsidRPr="001545AE">
        <w:rPr>
          <w:rFonts w:cstheme="minorHAnsi"/>
          <w:sz w:val="24"/>
          <w:szCs w:val="24"/>
        </w:rPr>
        <w:t>which</w:t>
      </w:r>
      <w:r w:rsidRPr="001545AE">
        <w:rPr>
          <w:rFonts w:cstheme="minorHAnsi"/>
          <w:sz w:val="24"/>
          <w:szCs w:val="24"/>
        </w:rPr>
        <w:t xml:space="preserve"> in turn will determine the level of managem</w:t>
      </w:r>
      <w:r w:rsidR="007119C7" w:rsidRPr="001545AE">
        <w:rPr>
          <w:rFonts w:cstheme="minorHAnsi"/>
          <w:sz w:val="24"/>
          <w:szCs w:val="24"/>
        </w:rPr>
        <w:t xml:space="preserve">ent charge attributable to the </w:t>
      </w:r>
      <w:r w:rsidRPr="001545AE">
        <w:rPr>
          <w:rFonts w:cstheme="minorHAnsi"/>
          <w:sz w:val="24"/>
          <w:szCs w:val="24"/>
        </w:rPr>
        <w:t xml:space="preserve">contract.  This will be discussed and agreed with any </w:t>
      </w:r>
      <w:r w:rsidR="0013400C" w:rsidRPr="001545AE">
        <w:rPr>
          <w:rFonts w:cstheme="minorHAnsi"/>
          <w:sz w:val="24"/>
          <w:szCs w:val="24"/>
        </w:rPr>
        <w:t>subcontractor</w:t>
      </w:r>
      <w:r w:rsidRPr="001545AE">
        <w:rPr>
          <w:rFonts w:cstheme="minorHAnsi"/>
          <w:sz w:val="24"/>
          <w:szCs w:val="24"/>
        </w:rPr>
        <w:t xml:space="preserve"> as part of the process leading up to the agreement of a contract.</w:t>
      </w:r>
    </w:p>
    <w:p w14:paraId="0157E8DA" w14:textId="14F537B9" w:rsidR="00717D36" w:rsidRPr="001545AE" w:rsidRDefault="002F6D35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It would be anticipated that as a contract matures, </w:t>
      </w:r>
      <w:r w:rsidR="007119C7" w:rsidRPr="001545AE">
        <w:rPr>
          <w:rFonts w:cstheme="minorHAnsi"/>
          <w:sz w:val="24"/>
          <w:szCs w:val="24"/>
        </w:rPr>
        <w:t xml:space="preserve">continual improvement measures </w:t>
      </w:r>
      <w:r w:rsidRPr="001545AE">
        <w:rPr>
          <w:rFonts w:cstheme="minorHAnsi"/>
          <w:sz w:val="24"/>
          <w:szCs w:val="24"/>
        </w:rPr>
        <w:t xml:space="preserve">will be delivered that will lessen the risk and therefore reduce the level of performance management activity required.  However, </w:t>
      </w:r>
      <w:r w:rsidR="007119C7" w:rsidRPr="001545AE">
        <w:rPr>
          <w:rFonts w:cstheme="minorHAnsi"/>
          <w:sz w:val="24"/>
          <w:szCs w:val="24"/>
        </w:rPr>
        <w:t xml:space="preserve">it is also possible that for a </w:t>
      </w:r>
      <w:r w:rsidRPr="001545AE">
        <w:rPr>
          <w:rFonts w:cstheme="minorHAnsi"/>
          <w:sz w:val="24"/>
          <w:szCs w:val="24"/>
        </w:rPr>
        <w:t>variety of reasons, such as organisational change</w:t>
      </w:r>
      <w:r w:rsidR="007119C7" w:rsidRPr="001545AE">
        <w:rPr>
          <w:rFonts w:cstheme="minorHAnsi"/>
          <w:sz w:val="24"/>
          <w:szCs w:val="24"/>
        </w:rPr>
        <w:t xml:space="preserve"> or poor performance against a </w:t>
      </w:r>
      <w:r w:rsidRPr="001545AE">
        <w:rPr>
          <w:rFonts w:cstheme="minorHAnsi"/>
          <w:sz w:val="24"/>
          <w:szCs w:val="24"/>
        </w:rPr>
        <w:t>contract, risk could increase; therefore, the level of ri</w:t>
      </w:r>
      <w:r w:rsidR="007119C7" w:rsidRPr="001545AE">
        <w:rPr>
          <w:rFonts w:cstheme="minorHAnsi"/>
          <w:sz w:val="24"/>
          <w:szCs w:val="24"/>
        </w:rPr>
        <w:t>sk associated with a given sub-</w:t>
      </w:r>
      <w:r w:rsidRPr="001545AE">
        <w:rPr>
          <w:rFonts w:cstheme="minorHAnsi"/>
          <w:sz w:val="24"/>
          <w:szCs w:val="24"/>
        </w:rPr>
        <w:t>contract will be reassessed annually to determine the performance management process (and therefore the management charge) for the following year</w:t>
      </w:r>
      <w:r w:rsidR="0013400C" w:rsidRPr="001545AE">
        <w:rPr>
          <w:rFonts w:cstheme="minorHAnsi"/>
          <w:sz w:val="24"/>
          <w:szCs w:val="24"/>
        </w:rPr>
        <w:t>.</w:t>
      </w:r>
    </w:p>
    <w:p w14:paraId="3EC899A5" w14:textId="10AE1492" w:rsidR="002F6D35" w:rsidRPr="001545AE" w:rsidRDefault="0013400C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Risk factors may include:</w:t>
      </w:r>
    </w:p>
    <w:p w14:paraId="30BB367E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duration of the contract;</w:t>
      </w:r>
    </w:p>
    <w:p w14:paraId="19265AAA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value of the contract; </w:t>
      </w:r>
    </w:p>
    <w:p w14:paraId="6F70EBE5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industry types</w:t>
      </w:r>
      <w:r w:rsidR="000957D8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/</w:t>
      </w:r>
      <w:r w:rsidR="000957D8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vocational areas of programme delivery;</w:t>
      </w:r>
    </w:p>
    <w:p w14:paraId="5A169C9D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Considerations for health and safety/equal opportunities;</w:t>
      </w:r>
    </w:p>
    <w:p w14:paraId="30830695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nature of outputs required of the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>;</w:t>
      </w:r>
    </w:p>
    <w:p w14:paraId="2DA049E9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Rates of non-completion, drop-out and/or achievement;</w:t>
      </w:r>
    </w:p>
    <w:p w14:paraId="794049EE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staff turnover of the </w:t>
      </w:r>
      <w:r w:rsidR="0013400C" w:rsidRPr="001545AE">
        <w:rPr>
          <w:rFonts w:cstheme="minorHAnsi"/>
          <w:sz w:val="24"/>
          <w:szCs w:val="24"/>
        </w:rPr>
        <w:t>subcontractor</w:t>
      </w:r>
      <w:r w:rsidR="007760C1" w:rsidRPr="001545AE">
        <w:rPr>
          <w:rFonts w:cstheme="minorHAnsi"/>
          <w:sz w:val="24"/>
          <w:szCs w:val="24"/>
        </w:rPr>
        <w:t>;</w:t>
      </w:r>
    </w:p>
    <w:p w14:paraId="32612AF2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sensitivity or political profile of the programme;</w:t>
      </w:r>
    </w:p>
    <w:p w14:paraId="54B94694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</w:t>
      </w:r>
      <w:r w:rsidR="0013400C" w:rsidRPr="001545AE">
        <w:rPr>
          <w:rFonts w:cstheme="minorHAnsi"/>
          <w:sz w:val="24"/>
          <w:szCs w:val="24"/>
        </w:rPr>
        <w:t>subcontractor</w:t>
      </w:r>
      <w:r w:rsidRPr="001545AE">
        <w:rPr>
          <w:rFonts w:cstheme="minorHAnsi"/>
          <w:sz w:val="24"/>
          <w:szCs w:val="24"/>
        </w:rPr>
        <w:t>’s track record;</w:t>
      </w:r>
    </w:p>
    <w:p w14:paraId="62D56C3D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degree of innovation required in delivery of programmes;</w:t>
      </w:r>
    </w:p>
    <w:p w14:paraId="30A63D26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 underlying policy agenda;</w:t>
      </w:r>
    </w:p>
    <w:p w14:paraId="74849E3D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relative importance of the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 xml:space="preserve"> to the prime contractor;</w:t>
      </w:r>
    </w:p>
    <w:p w14:paraId="1EB77649" w14:textId="77777777" w:rsidR="002F6D35" w:rsidRPr="001545AE" w:rsidRDefault="002F6D35" w:rsidP="007119C7">
      <w:pPr>
        <w:pStyle w:val="ListParagraph"/>
        <w:numPr>
          <w:ilvl w:val="0"/>
          <w:numId w:val="18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Publicity and media implications</w:t>
      </w:r>
      <w:r w:rsidR="007760C1" w:rsidRPr="001545AE">
        <w:rPr>
          <w:rFonts w:cstheme="minorHAnsi"/>
          <w:sz w:val="24"/>
          <w:szCs w:val="24"/>
        </w:rPr>
        <w:t>.</w:t>
      </w:r>
    </w:p>
    <w:p w14:paraId="7F418630" w14:textId="77777777" w:rsidR="00061762" w:rsidRPr="001545AE" w:rsidRDefault="00061762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Any relevant factors from this list, together with any further relevant fact</w:t>
      </w:r>
      <w:r w:rsidR="007119C7" w:rsidRPr="001545AE">
        <w:rPr>
          <w:rFonts w:cstheme="minorHAnsi"/>
          <w:sz w:val="24"/>
          <w:szCs w:val="24"/>
        </w:rPr>
        <w:t xml:space="preserve">ors as apply </w:t>
      </w:r>
      <w:r w:rsidRPr="001545AE">
        <w:rPr>
          <w:rFonts w:cstheme="minorHAnsi"/>
          <w:sz w:val="24"/>
          <w:szCs w:val="24"/>
        </w:rPr>
        <w:t>to a given sub-contract, will be assessed against a s</w:t>
      </w:r>
      <w:r w:rsidR="007119C7" w:rsidRPr="001545AE">
        <w:rPr>
          <w:rFonts w:cstheme="minorHAnsi"/>
          <w:sz w:val="24"/>
          <w:szCs w:val="24"/>
        </w:rPr>
        <w:t xml:space="preserve">tandardised method </w:t>
      </w:r>
      <w:proofErr w:type="gramStart"/>
      <w:r w:rsidR="007119C7" w:rsidRPr="001545AE">
        <w:rPr>
          <w:rFonts w:cstheme="minorHAnsi"/>
          <w:sz w:val="24"/>
          <w:szCs w:val="24"/>
        </w:rPr>
        <w:t>in order to</w:t>
      </w:r>
      <w:proofErr w:type="gramEnd"/>
      <w:r w:rsidR="007119C7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determine the risk banding to be assigned to a given contract.</w:t>
      </w:r>
    </w:p>
    <w:p w14:paraId="0FC5DE12" w14:textId="77777777" w:rsidR="00061762" w:rsidRPr="001545AE" w:rsidRDefault="00B73D0A" w:rsidP="0065190C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Management Fees</w:t>
      </w:r>
    </w:p>
    <w:p w14:paraId="34E50B1E" w14:textId="77777777" w:rsidR="00061762" w:rsidRPr="001545AE" w:rsidRDefault="007760C1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</w:t>
      </w:r>
      <w:r w:rsidR="00A44F6C" w:rsidRPr="001545AE">
        <w:rPr>
          <w:rFonts w:cstheme="minorHAnsi"/>
          <w:sz w:val="24"/>
          <w:szCs w:val="24"/>
        </w:rPr>
        <w:t xml:space="preserve"> Service </w:t>
      </w:r>
      <w:r w:rsidR="00061762" w:rsidRPr="001545AE">
        <w:rPr>
          <w:rFonts w:cstheme="minorHAnsi"/>
          <w:sz w:val="24"/>
          <w:szCs w:val="24"/>
        </w:rPr>
        <w:t xml:space="preserve">will retain a management fee from all sub-contracted partner </w:t>
      </w:r>
      <w:r w:rsidRPr="001545AE">
        <w:rPr>
          <w:rFonts w:cstheme="minorHAnsi"/>
          <w:sz w:val="24"/>
          <w:szCs w:val="24"/>
        </w:rPr>
        <w:t>o</w:t>
      </w:r>
      <w:r w:rsidR="00061762" w:rsidRPr="001545AE">
        <w:rPr>
          <w:rFonts w:cstheme="minorHAnsi"/>
          <w:sz w:val="24"/>
          <w:szCs w:val="24"/>
        </w:rPr>
        <w:t>rganisations within a range of 1</w:t>
      </w:r>
      <w:r w:rsidR="00F84A03" w:rsidRPr="001545AE">
        <w:rPr>
          <w:rFonts w:cstheme="minorHAnsi"/>
          <w:sz w:val="24"/>
          <w:szCs w:val="24"/>
        </w:rPr>
        <w:t>0</w:t>
      </w:r>
      <w:r w:rsidR="00061762" w:rsidRPr="001545AE">
        <w:rPr>
          <w:rFonts w:cstheme="minorHAnsi"/>
          <w:sz w:val="24"/>
          <w:szCs w:val="24"/>
        </w:rPr>
        <w:t xml:space="preserve">% to </w:t>
      </w:r>
      <w:r w:rsidR="00F84A03" w:rsidRPr="001545AE">
        <w:rPr>
          <w:rFonts w:cstheme="minorHAnsi"/>
          <w:sz w:val="24"/>
          <w:szCs w:val="24"/>
        </w:rPr>
        <w:t>2</w:t>
      </w:r>
      <w:r w:rsidR="00061762" w:rsidRPr="001545AE">
        <w:rPr>
          <w:rFonts w:cstheme="minorHAnsi"/>
          <w:sz w:val="24"/>
          <w:szCs w:val="24"/>
        </w:rPr>
        <w:t>0%.  The fees charged reflect the</w:t>
      </w:r>
      <w:r w:rsidR="00A44F6C" w:rsidRPr="001545AE">
        <w:rPr>
          <w:rFonts w:cstheme="minorHAnsi"/>
          <w:sz w:val="24"/>
          <w:szCs w:val="24"/>
        </w:rPr>
        <w:t xml:space="preserve"> </w:t>
      </w:r>
      <w:r w:rsidR="00061762" w:rsidRPr="001545AE">
        <w:rPr>
          <w:rFonts w:cstheme="minorHAnsi"/>
          <w:sz w:val="24"/>
          <w:szCs w:val="24"/>
        </w:rPr>
        <w:t>cost of the comm</w:t>
      </w:r>
      <w:r w:rsidR="00796EE1" w:rsidRPr="001545AE">
        <w:rPr>
          <w:rFonts w:cstheme="minorHAnsi"/>
          <w:sz w:val="24"/>
          <w:szCs w:val="24"/>
        </w:rPr>
        <w:t>issioning and procurement proce</w:t>
      </w:r>
      <w:r w:rsidR="00061762" w:rsidRPr="001545AE">
        <w:rPr>
          <w:rFonts w:cstheme="minorHAnsi"/>
          <w:sz w:val="24"/>
          <w:szCs w:val="24"/>
        </w:rPr>
        <w:t>ss, capacity development, quality</w:t>
      </w:r>
      <w:r w:rsidR="00A44F6C" w:rsidRPr="001545AE">
        <w:rPr>
          <w:rFonts w:cstheme="minorHAnsi"/>
          <w:sz w:val="24"/>
          <w:szCs w:val="24"/>
        </w:rPr>
        <w:t xml:space="preserve"> </w:t>
      </w:r>
      <w:r w:rsidR="00061762" w:rsidRPr="001545AE">
        <w:rPr>
          <w:rFonts w:cstheme="minorHAnsi"/>
          <w:sz w:val="24"/>
          <w:szCs w:val="24"/>
        </w:rPr>
        <w:t>support and administration and management of sub-contracts.</w:t>
      </w:r>
    </w:p>
    <w:p w14:paraId="51E848AD" w14:textId="77777777" w:rsidR="00061762" w:rsidRPr="001545AE" w:rsidRDefault="00061762" w:rsidP="007119C7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The mix, balance and level of support for each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="007119C7" w:rsidRPr="001545AE">
        <w:rPr>
          <w:rFonts w:cstheme="minorHAnsi"/>
          <w:sz w:val="24"/>
          <w:szCs w:val="24"/>
        </w:rPr>
        <w:t xml:space="preserve"> will vary depending on </w:t>
      </w:r>
      <w:r w:rsidRPr="001545AE">
        <w:rPr>
          <w:rFonts w:cstheme="minorHAnsi"/>
          <w:sz w:val="24"/>
          <w:szCs w:val="24"/>
        </w:rPr>
        <w:t xml:space="preserve">the specific needs of the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 xml:space="preserve">. </w:t>
      </w:r>
      <w:r w:rsidR="00A44F6C" w:rsidRPr="001545AE">
        <w:rPr>
          <w:rFonts w:cstheme="minorHAnsi"/>
          <w:sz w:val="24"/>
          <w:szCs w:val="24"/>
        </w:rPr>
        <w:t xml:space="preserve">Darlington Borough Council Learning &amp; Skills Service will ensure that </w:t>
      </w:r>
      <w:r w:rsidRPr="001545AE">
        <w:rPr>
          <w:rFonts w:cstheme="minorHAnsi"/>
          <w:sz w:val="24"/>
          <w:szCs w:val="24"/>
        </w:rPr>
        <w:t xml:space="preserve">each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 xml:space="preserve"> receives a high level of supp</w:t>
      </w:r>
      <w:r w:rsidR="00A44F6C" w:rsidRPr="001545AE">
        <w:rPr>
          <w:rFonts w:cstheme="minorHAnsi"/>
          <w:sz w:val="24"/>
          <w:szCs w:val="24"/>
        </w:rPr>
        <w:t xml:space="preserve">ort and guidance and access to Darlington Borough Council Learning &amp; Skills Service </w:t>
      </w:r>
      <w:r w:rsidRPr="001545AE">
        <w:rPr>
          <w:rFonts w:cstheme="minorHAnsi"/>
          <w:sz w:val="24"/>
          <w:szCs w:val="24"/>
        </w:rPr>
        <w:t>systems and resources</w:t>
      </w:r>
      <w:r w:rsidR="007119C7" w:rsidRPr="001545AE">
        <w:rPr>
          <w:rFonts w:cstheme="minorHAnsi"/>
          <w:sz w:val="24"/>
          <w:szCs w:val="24"/>
        </w:rPr>
        <w:t>, including but not limited to:</w:t>
      </w:r>
      <w:r w:rsidRPr="001545AE">
        <w:rPr>
          <w:rFonts w:cstheme="minorHAnsi"/>
          <w:sz w:val="24"/>
          <w:szCs w:val="24"/>
        </w:rPr>
        <w:t xml:space="preserve"> </w:t>
      </w:r>
    </w:p>
    <w:p w14:paraId="5738F953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lastRenderedPageBreak/>
        <w:t>Developing practice in conjunction with funding regulations</w:t>
      </w:r>
    </w:p>
    <w:p w14:paraId="3FC1D53F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Implementing the </w:t>
      </w:r>
      <w:r w:rsidR="00A44F6C" w:rsidRPr="001545AE">
        <w:rPr>
          <w:rFonts w:cstheme="minorHAnsi"/>
          <w:sz w:val="24"/>
          <w:szCs w:val="24"/>
        </w:rPr>
        <w:t xml:space="preserve">Darlington Borough Council Learning &amp; Skills Service </w:t>
      </w:r>
      <w:r w:rsidRPr="001545AE">
        <w:rPr>
          <w:rFonts w:cstheme="minorHAnsi"/>
          <w:sz w:val="24"/>
          <w:szCs w:val="24"/>
        </w:rPr>
        <w:t>quality framework</w:t>
      </w:r>
    </w:p>
    <w:p w14:paraId="0A1EA18A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Contract and performance monitoring</w:t>
      </w:r>
    </w:p>
    <w:p w14:paraId="5427E1D4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Provision of bespoke Information, Advice and Guidance services</w:t>
      </w:r>
    </w:p>
    <w:p w14:paraId="190F72C9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Financial management</w:t>
      </w:r>
    </w:p>
    <w:p w14:paraId="00B34AA9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Provider financial audit</w:t>
      </w:r>
    </w:p>
    <w:p w14:paraId="7943ED5D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Quality management systems</w:t>
      </w:r>
    </w:p>
    <w:p w14:paraId="3DF5FCED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Management information services and data control advice</w:t>
      </w:r>
    </w:p>
    <w:p w14:paraId="20F4E3F2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Audit of management systems and delivery</w:t>
      </w:r>
    </w:p>
    <w:p w14:paraId="6DD97834" w14:textId="77777777" w:rsidR="00061762" w:rsidRPr="001545AE" w:rsidRDefault="007760C1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O</w:t>
      </w:r>
      <w:r w:rsidR="00061762" w:rsidRPr="001545AE">
        <w:rPr>
          <w:rFonts w:cstheme="minorHAnsi"/>
          <w:sz w:val="24"/>
          <w:szCs w:val="24"/>
        </w:rPr>
        <w:t>bservations of teaching, learning and assessment</w:t>
      </w:r>
    </w:p>
    <w:p w14:paraId="4AE5530F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Safeguarding of Young People and Vulnerable Adults procedures</w:t>
      </w:r>
    </w:p>
    <w:p w14:paraId="5AB03D24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Health and Safety compliance</w:t>
      </w:r>
    </w:p>
    <w:p w14:paraId="36266DFD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CPD </w:t>
      </w:r>
      <w:r w:rsidR="007760C1" w:rsidRPr="001545AE">
        <w:rPr>
          <w:rFonts w:cstheme="minorHAnsi"/>
          <w:sz w:val="24"/>
          <w:szCs w:val="24"/>
        </w:rPr>
        <w:t>o</w:t>
      </w:r>
      <w:r w:rsidRPr="001545AE">
        <w:rPr>
          <w:rFonts w:cstheme="minorHAnsi"/>
          <w:sz w:val="24"/>
          <w:szCs w:val="24"/>
        </w:rPr>
        <w:t>pportunities and planned training and development</w:t>
      </w:r>
    </w:p>
    <w:p w14:paraId="7B564990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Support with </w:t>
      </w:r>
      <w:r w:rsidR="009F774E" w:rsidRPr="001545AE">
        <w:rPr>
          <w:rFonts w:cstheme="minorHAnsi"/>
          <w:sz w:val="24"/>
          <w:szCs w:val="24"/>
        </w:rPr>
        <w:t>Agency</w:t>
      </w:r>
      <w:r w:rsidRPr="001545AE">
        <w:rPr>
          <w:rFonts w:cstheme="minorHAnsi"/>
          <w:sz w:val="24"/>
          <w:szCs w:val="24"/>
        </w:rPr>
        <w:t xml:space="preserve"> funding rules/regulations interpretation and compliance</w:t>
      </w:r>
    </w:p>
    <w:p w14:paraId="38512488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Updates regarding funding and policy guidance</w:t>
      </w:r>
    </w:p>
    <w:p w14:paraId="1BF33BC4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Equality and diversity support</w:t>
      </w:r>
    </w:p>
    <w:p w14:paraId="5D48972F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Administration of the AGE Grant process</w:t>
      </w:r>
    </w:p>
    <w:p w14:paraId="44DCBCC4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Administration of 24+ Advanced Learning loans</w:t>
      </w:r>
    </w:p>
    <w:p w14:paraId="63428B1C" w14:textId="77777777" w:rsidR="00061762" w:rsidRPr="001545AE" w:rsidRDefault="00061762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Administration of 16-19 Bursary funds</w:t>
      </w:r>
    </w:p>
    <w:p w14:paraId="0ADF9E32" w14:textId="77777777" w:rsidR="00BF1B94" w:rsidRPr="001545AE" w:rsidRDefault="00BF1B94" w:rsidP="007119C7">
      <w:pPr>
        <w:pStyle w:val="ListParagraph"/>
        <w:numPr>
          <w:ilvl w:val="0"/>
          <w:numId w:val="19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Celebrating learner achievement</w:t>
      </w:r>
    </w:p>
    <w:p w14:paraId="3FC4A2A8" w14:textId="77777777" w:rsidR="0045100B" w:rsidRPr="001545AE" w:rsidRDefault="0045100B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Management fees may vary between </w:t>
      </w:r>
      <w:r w:rsidR="0013400C" w:rsidRPr="001545AE">
        <w:rPr>
          <w:rFonts w:cstheme="minorHAnsi"/>
          <w:sz w:val="24"/>
          <w:szCs w:val="24"/>
        </w:rPr>
        <w:t>sub</w:t>
      </w:r>
      <w:r w:rsidR="007119C7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>s s</w:t>
      </w:r>
      <w:r w:rsidR="007119C7" w:rsidRPr="001545AE">
        <w:rPr>
          <w:rFonts w:cstheme="minorHAnsi"/>
          <w:sz w:val="24"/>
          <w:szCs w:val="24"/>
        </w:rPr>
        <w:t xml:space="preserve">ubject to the level of support </w:t>
      </w:r>
      <w:r w:rsidRPr="001545AE">
        <w:rPr>
          <w:rFonts w:cstheme="minorHAnsi"/>
          <w:sz w:val="24"/>
          <w:szCs w:val="24"/>
        </w:rPr>
        <w:t xml:space="preserve">required, experience of the </w:t>
      </w:r>
      <w:r w:rsidR="0013400C" w:rsidRPr="001545AE">
        <w:rPr>
          <w:rFonts w:cstheme="minorHAnsi"/>
          <w:sz w:val="24"/>
          <w:szCs w:val="24"/>
        </w:rPr>
        <w:t>subcontractor</w:t>
      </w:r>
      <w:r w:rsidRPr="001545AE">
        <w:rPr>
          <w:rFonts w:cstheme="minorHAnsi"/>
          <w:sz w:val="24"/>
          <w:szCs w:val="24"/>
        </w:rPr>
        <w:t>, target lea</w:t>
      </w:r>
      <w:r w:rsidR="007119C7" w:rsidRPr="001545AE">
        <w:rPr>
          <w:rFonts w:cstheme="minorHAnsi"/>
          <w:sz w:val="24"/>
          <w:szCs w:val="24"/>
        </w:rPr>
        <w:t xml:space="preserve">rners, track record, published </w:t>
      </w:r>
      <w:r w:rsidRPr="001545AE">
        <w:rPr>
          <w:rFonts w:cstheme="minorHAnsi"/>
          <w:sz w:val="24"/>
          <w:szCs w:val="24"/>
        </w:rPr>
        <w:t>success rates and other factors.  Funding rates will</w:t>
      </w:r>
      <w:r w:rsidR="007119C7" w:rsidRPr="001545AE">
        <w:rPr>
          <w:rFonts w:cstheme="minorHAnsi"/>
          <w:sz w:val="24"/>
          <w:szCs w:val="24"/>
        </w:rPr>
        <w:t xml:space="preserve"> be determined and agreed with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>s prior to a sub-contract being issued</w:t>
      </w:r>
      <w:r w:rsidR="00194F8A" w:rsidRPr="001545AE">
        <w:rPr>
          <w:rFonts w:cstheme="minorHAnsi"/>
          <w:sz w:val="24"/>
          <w:szCs w:val="24"/>
        </w:rPr>
        <w:t>.</w:t>
      </w:r>
    </w:p>
    <w:p w14:paraId="75A0CD3C" w14:textId="77777777" w:rsidR="0045100B" w:rsidRPr="001545AE" w:rsidRDefault="00B73D0A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Payment Arrangements</w:t>
      </w:r>
    </w:p>
    <w:p w14:paraId="34EE7E91" w14:textId="77777777" w:rsidR="0045100B" w:rsidRPr="001545AE" w:rsidRDefault="0013400C" w:rsidP="007119C7">
      <w:pPr>
        <w:pStyle w:val="ListParagraph"/>
        <w:numPr>
          <w:ilvl w:val="0"/>
          <w:numId w:val="20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contractor</w:t>
      </w:r>
      <w:r w:rsidR="0045100B" w:rsidRPr="001545AE">
        <w:rPr>
          <w:rFonts w:cstheme="minorHAnsi"/>
          <w:sz w:val="24"/>
          <w:szCs w:val="24"/>
        </w:rPr>
        <w:t xml:space="preserve">s will be paid at a frequency agreed with </w:t>
      </w:r>
      <w:r w:rsidR="00194F8A" w:rsidRPr="001545AE">
        <w:rPr>
          <w:rFonts w:cstheme="minorHAnsi"/>
          <w:sz w:val="24"/>
          <w:szCs w:val="24"/>
        </w:rPr>
        <w:t xml:space="preserve">the </w:t>
      </w:r>
      <w:r w:rsidR="00A44F6C" w:rsidRPr="001545AE">
        <w:rPr>
          <w:rFonts w:cstheme="minorHAnsi"/>
          <w:sz w:val="24"/>
          <w:szCs w:val="24"/>
        </w:rPr>
        <w:t xml:space="preserve">Service </w:t>
      </w:r>
      <w:r w:rsidR="0045100B" w:rsidRPr="001545AE">
        <w:rPr>
          <w:rFonts w:cstheme="minorHAnsi"/>
          <w:sz w:val="24"/>
          <w:szCs w:val="24"/>
        </w:rPr>
        <w:t>as part of the contract clarification process and in line with validated data</w:t>
      </w:r>
      <w:r w:rsidR="00194F8A" w:rsidRPr="001545AE">
        <w:rPr>
          <w:rFonts w:cstheme="minorHAnsi"/>
          <w:sz w:val="24"/>
          <w:szCs w:val="24"/>
        </w:rPr>
        <w:t>.</w:t>
      </w:r>
    </w:p>
    <w:p w14:paraId="3C7A5F9C" w14:textId="77777777" w:rsidR="0045100B" w:rsidRPr="001545AE" w:rsidRDefault="0045100B" w:rsidP="007119C7">
      <w:pPr>
        <w:pStyle w:val="ListParagraph"/>
        <w:numPr>
          <w:ilvl w:val="0"/>
          <w:numId w:val="20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 xml:space="preserve">Following validation of the evidence in the ILR/enrolment return, </w:t>
      </w:r>
      <w:r w:rsidR="00194F8A" w:rsidRPr="001545AE">
        <w:rPr>
          <w:rFonts w:cstheme="minorHAnsi"/>
          <w:sz w:val="24"/>
          <w:szCs w:val="24"/>
        </w:rPr>
        <w:t>the</w:t>
      </w:r>
      <w:r w:rsidR="00A44F6C" w:rsidRPr="001545AE">
        <w:rPr>
          <w:rFonts w:cstheme="minorHAnsi"/>
          <w:sz w:val="24"/>
          <w:szCs w:val="24"/>
        </w:rPr>
        <w:t xml:space="preserve"> Service</w:t>
      </w:r>
      <w:r w:rsidRPr="001545AE">
        <w:rPr>
          <w:rFonts w:cstheme="minorHAnsi"/>
          <w:sz w:val="24"/>
          <w:szCs w:val="24"/>
        </w:rPr>
        <w:t xml:space="preserve"> will make the appropriate payment to the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 xml:space="preserve"> based on the level of income earned</w:t>
      </w:r>
    </w:p>
    <w:p w14:paraId="3DB2C2D5" w14:textId="77777777" w:rsidR="0045100B" w:rsidRPr="001545AE" w:rsidRDefault="0045100B" w:rsidP="007119C7">
      <w:pPr>
        <w:pStyle w:val="ListParagraph"/>
        <w:numPr>
          <w:ilvl w:val="0"/>
          <w:numId w:val="20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All payments will be triggered via invoice and accompanying validated evidence of delivery.  Invoices will contain the provider order number of the associated schedule and payments made by BACS</w:t>
      </w:r>
      <w:r w:rsidR="00194F8A" w:rsidRPr="001545AE">
        <w:rPr>
          <w:rFonts w:cstheme="minorHAnsi"/>
          <w:sz w:val="24"/>
          <w:szCs w:val="24"/>
        </w:rPr>
        <w:t>.</w:t>
      </w:r>
    </w:p>
    <w:p w14:paraId="0DE93315" w14:textId="77777777" w:rsidR="0045100B" w:rsidRPr="001545AE" w:rsidRDefault="00194F8A" w:rsidP="007119C7">
      <w:pPr>
        <w:pStyle w:val="ListParagraph"/>
        <w:numPr>
          <w:ilvl w:val="0"/>
          <w:numId w:val="20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The</w:t>
      </w:r>
      <w:r w:rsidR="00A44F6C" w:rsidRPr="001545AE">
        <w:rPr>
          <w:rFonts w:cstheme="minorHAnsi"/>
          <w:sz w:val="24"/>
          <w:szCs w:val="24"/>
        </w:rPr>
        <w:t xml:space="preserve"> Service </w:t>
      </w:r>
      <w:r w:rsidR="0045100B" w:rsidRPr="001545AE">
        <w:rPr>
          <w:rFonts w:cstheme="minorHAnsi"/>
          <w:sz w:val="24"/>
          <w:szCs w:val="24"/>
        </w:rPr>
        <w:t xml:space="preserve">expects the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="0045100B" w:rsidRPr="001545AE">
        <w:rPr>
          <w:rFonts w:cstheme="minorHAnsi"/>
          <w:sz w:val="24"/>
          <w:szCs w:val="24"/>
        </w:rPr>
        <w:t>s will participate in the assessment of accuracy of payments and review remittance advice to ensure there are no inaccuracies.</w:t>
      </w:r>
    </w:p>
    <w:p w14:paraId="46596DF7" w14:textId="77777777" w:rsidR="0045100B" w:rsidRPr="001545AE" w:rsidRDefault="00B73D0A" w:rsidP="0065190C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Policy Communication</w:t>
      </w:r>
    </w:p>
    <w:p w14:paraId="6FDC858D" w14:textId="2C581242" w:rsidR="00A44F6C" w:rsidRDefault="0045100B" w:rsidP="00FA09DC">
      <w:pPr>
        <w:spacing w:line="240" w:lineRule="auto"/>
      </w:pPr>
      <w:r w:rsidRPr="001545AE">
        <w:rPr>
          <w:rFonts w:cstheme="minorHAnsi"/>
          <w:sz w:val="24"/>
          <w:szCs w:val="24"/>
        </w:rPr>
        <w:t xml:space="preserve">The Policy is available on-line at </w:t>
      </w:r>
      <w:hyperlink r:id="rId8" w:history="1">
        <w:r w:rsidR="00FA09DC" w:rsidRPr="00FA09DC">
          <w:rPr>
            <w:rStyle w:val="Hyperlink"/>
            <w:sz w:val="24"/>
            <w:szCs w:val="24"/>
          </w:rPr>
          <w:t>https://www.darlington.gov.uk/education-and-learning/learning-skills/policies-procedures-and-privacy-statements/</w:t>
        </w:r>
      </w:hyperlink>
      <w:r w:rsidR="00FA09DC" w:rsidRPr="00FA09DC">
        <w:rPr>
          <w:sz w:val="24"/>
          <w:szCs w:val="24"/>
        </w:rPr>
        <w:t>.</w:t>
      </w:r>
    </w:p>
    <w:p w14:paraId="1EAC62DF" w14:textId="77777777" w:rsidR="00FA09DC" w:rsidRPr="001545AE" w:rsidRDefault="00FA09DC" w:rsidP="00E0477E">
      <w:pPr>
        <w:spacing w:line="240" w:lineRule="auto"/>
        <w:ind w:left="709" w:hanging="709"/>
        <w:rPr>
          <w:rFonts w:cstheme="minorHAnsi"/>
          <w:sz w:val="24"/>
          <w:szCs w:val="24"/>
        </w:rPr>
      </w:pPr>
    </w:p>
    <w:p w14:paraId="79FC76D8" w14:textId="77777777" w:rsidR="0045100B" w:rsidRPr="001545AE" w:rsidRDefault="001B56B3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In the spirit of openness and transparency the policy is avai</w:t>
      </w:r>
      <w:r w:rsidR="007119C7" w:rsidRPr="001545AE">
        <w:rPr>
          <w:rFonts w:cstheme="minorHAnsi"/>
          <w:sz w:val="24"/>
          <w:szCs w:val="24"/>
        </w:rPr>
        <w:t xml:space="preserve">lable in the public </w:t>
      </w:r>
      <w:r w:rsidRPr="001545AE">
        <w:rPr>
          <w:rFonts w:cstheme="minorHAnsi"/>
          <w:sz w:val="24"/>
          <w:szCs w:val="24"/>
        </w:rPr>
        <w:t xml:space="preserve">domain.  The policy will be reviewed at least annually in July of each year.  Any </w:t>
      </w:r>
      <w:r w:rsidRPr="001545AE">
        <w:rPr>
          <w:rFonts w:cstheme="minorHAnsi"/>
          <w:sz w:val="24"/>
          <w:szCs w:val="24"/>
        </w:rPr>
        <w:tab/>
        <w:t xml:space="preserve">changes to the policy will be notified to </w:t>
      </w:r>
      <w:r w:rsidR="0013400C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="0013400C" w:rsidRPr="001545AE">
        <w:rPr>
          <w:rFonts w:cstheme="minorHAnsi"/>
          <w:sz w:val="24"/>
          <w:szCs w:val="24"/>
        </w:rPr>
        <w:t>contractor</w:t>
      </w:r>
      <w:r w:rsidRPr="001545AE">
        <w:rPr>
          <w:rFonts w:cstheme="minorHAnsi"/>
          <w:sz w:val="24"/>
          <w:szCs w:val="24"/>
        </w:rPr>
        <w:t>s as part of their regular</w:t>
      </w:r>
      <w:r w:rsidR="000957D8" w:rsidRPr="001545AE">
        <w:rPr>
          <w:rFonts w:cstheme="minorHAnsi"/>
          <w:sz w:val="24"/>
          <w:szCs w:val="24"/>
        </w:rPr>
        <w:t xml:space="preserve"> </w:t>
      </w:r>
      <w:r w:rsidRPr="001545AE">
        <w:rPr>
          <w:rFonts w:cstheme="minorHAnsi"/>
          <w:sz w:val="24"/>
          <w:szCs w:val="24"/>
        </w:rPr>
        <w:t>performance review or via separate correspondence</w:t>
      </w:r>
      <w:r w:rsidR="00194F8A" w:rsidRPr="001545AE">
        <w:rPr>
          <w:rFonts w:cstheme="minorHAnsi"/>
          <w:sz w:val="24"/>
          <w:szCs w:val="24"/>
        </w:rPr>
        <w:t>.</w:t>
      </w:r>
    </w:p>
    <w:p w14:paraId="656829CA" w14:textId="77777777" w:rsidR="00E5173D" w:rsidRPr="001545AE" w:rsidRDefault="00B73D0A" w:rsidP="0065190C">
      <w:pPr>
        <w:spacing w:line="240" w:lineRule="auto"/>
        <w:rPr>
          <w:rFonts w:cstheme="minorHAnsi"/>
          <w:b/>
          <w:sz w:val="24"/>
          <w:szCs w:val="24"/>
        </w:rPr>
      </w:pPr>
      <w:r w:rsidRPr="001545AE">
        <w:rPr>
          <w:rFonts w:cstheme="minorHAnsi"/>
          <w:b/>
          <w:sz w:val="24"/>
          <w:szCs w:val="24"/>
        </w:rPr>
        <w:t>Payments to Sub-Contractors</w:t>
      </w:r>
    </w:p>
    <w:p w14:paraId="764C4B0E" w14:textId="68FC4792" w:rsidR="000957D8" w:rsidRPr="001545AE" w:rsidRDefault="00AF702C" w:rsidP="0065190C">
      <w:pPr>
        <w:spacing w:line="240" w:lineRule="auto"/>
        <w:rPr>
          <w:rFonts w:cstheme="minorHAnsi"/>
          <w:sz w:val="24"/>
          <w:szCs w:val="24"/>
        </w:rPr>
      </w:pPr>
      <w:r w:rsidRPr="001545AE">
        <w:rPr>
          <w:rFonts w:cstheme="minorHAnsi"/>
          <w:sz w:val="24"/>
          <w:szCs w:val="24"/>
        </w:rPr>
        <w:t>No sub-contracting of provision has taken place since 201</w:t>
      </w:r>
      <w:r w:rsidR="006B4BB5" w:rsidRPr="001545AE">
        <w:rPr>
          <w:rFonts w:cstheme="minorHAnsi"/>
          <w:sz w:val="24"/>
          <w:szCs w:val="24"/>
        </w:rPr>
        <w:t>3</w:t>
      </w:r>
      <w:r w:rsidRPr="001545AE">
        <w:rPr>
          <w:rFonts w:cstheme="minorHAnsi"/>
          <w:sz w:val="24"/>
          <w:szCs w:val="24"/>
        </w:rPr>
        <w:t>/1</w:t>
      </w:r>
      <w:r w:rsidR="006B4BB5" w:rsidRPr="001545AE">
        <w:rPr>
          <w:rFonts w:cstheme="minorHAnsi"/>
          <w:sz w:val="24"/>
          <w:szCs w:val="24"/>
        </w:rPr>
        <w:t>4</w:t>
      </w:r>
      <w:r w:rsidRPr="001545AE">
        <w:rPr>
          <w:rFonts w:cstheme="minorHAnsi"/>
          <w:sz w:val="24"/>
          <w:szCs w:val="24"/>
        </w:rPr>
        <w:t xml:space="preserve">, when a small amount of </w:t>
      </w:r>
      <w:r w:rsidR="00A46404" w:rsidRPr="001545AE">
        <w:rPr>
          <w:rFonts w:cstheme="minorHAnsi"/>
          <w:sz w:val="24"/>
          <w:szCs w:val="24"/>
        </w:rPr>
        <w:t>service</w:t>
      </w:r>
      <w:r w:rsidR="00A46404">
        <w:rPr>
          <w:rFonts w:cstheme="minorHAnsi"/>
          <w:sz w:val="24"/>
          <w:szCs w:val="24"/>
        </w:rPr>
        <w:t xml:space="preserve"> </w:t>
      </w:r>
      <w:r w:rsidR="00A46404" w:rsidRPr="001545AE">
        <w:rPr>
          <w:rFonts w:cstheme="minorHAnsi"/>
          <w:sz w:val="24"/>
          <w:szCs w:val="24"/>
        </w:rPr>
        <w:t>sub</w:t>
      </w:r>
      <w:r w:rsidR="000957D8" w:rsidRPr="001545AE">
        <w:rPr>
          <w:rFonts w:cstheme="minorHAnsi"/>
          <w:sz w:val="24"/>
          <w:szCs w:val="24"/>
        </w:rPr>
        <w:t>-</w:t>
      </w:r>
      <w:r w:rsidRPr="001545AE">
        <w:rPr>
          <w:rFonts w:cstheme="minorHAnsi"/>
          <w:sz w:val="24"/>
          <w:szCs w:val="24"/>
        </w:rPr>
        <w:t>contracting took place.  No sub-contracting is planned for</w:t>
      </w:r>
      <w:r w:rsidR="007158C4" w:rsidRPr="001545AE">
        <w:rPr>
          <w:rFonts w:cstheme="minorHAnsi"/>
          <w:sz w:val="24"/>
          <w:szCs w:val="24"/>
        </w:rPr>
        <w:t xml:space="preserve"> </w:t>
      </w:r>
      <w:r w:rsidR="00C624DF" w:rsidRPr="00A46404">
        <w:rPr>
          <w:rFonts w:cstheme="minorHAnsi"/>
          <w:sz w:val="24"/>
          <w:szCs w:val="24"/>
        </w:rPr>
        <w:t>2</w:t>
      </w:r>
      <w:r w:rsidR="00717D36" w:rsidRPr="00A46404">
        <w:rPr>
          <w:rFonts w:cstheme="minorHAnsi"/>
          <w:sz w:val="24"/>
          <w:szCs w:val="24"/>
        </w:rPr>
        <w:t>02</w:t>
      </w:r>
      <w:r w:rsidR="009B02DC" w:rsidRPr="00A46404">
        <w:rPr>
          <w:rFonts w:cstheme="minorHAnsi"/>
          <w:sz w:val="24"/>
          <w:szCs w:val="24"/>
        </w:rPr>
        <w:t>4</w:t>
      </w:r>
      <w:r w:rsidR="00717D36" w:rsidRPr="00A46404">
        <w:rPr>
          <w:rFonts w:cstheme="minorHAnsi"/>
          <w:sz w:val="24"/>
          <w:szCs w:val="24"/>
        </w:rPr>
        <w:t>/2</w:t>
      </w:r>
      <w:r w:rsidR="009B02DC" w:rsidRPr="00A46404">
        <w:rPr>
          <w:rFonts w:cstheme="minorHAnsi"/>
          <w:sz w:val="24"/>
          <w:szCs w:val="24"/>
        </w:rPr>
        <w:t>5</w:t>
      </w:r>
      <w:r w:rsidRPr="00A46404">
        <w:rPr>
          <w:rFonts w:cstheme="minorHAnsi"/>
          <w:sz w:val="24"/>
          <w:szCs w:val="24"/>
        </w:rPr>
        <w:t>.</w:t>
      </w:r>
    </w:p>
    <w:p w14:paraId="4467EEA5" w14:textId="77777777" w:rsidR="000C2A6B" w:rsidRPr="001545AE" w:rsidRDefault="000C2A6B" w:rsidP="0065190C">
      <w:pPr>
        <w:spacing w:line="240" w:lineRule="auto"/>
        <w:rPr>
          <w:rFonts w:cstheme="minorHAnsi"/>
          <w:sz w:val="24"/>
          <w:szCs w:val="24"/>
        </w:rPr>
      </w:pPr>
    </w:p>
    <w:p w14:paraId="67E84661" w14:textId="77777777" w:rsidR="000957D8" w:rsidRPr="001545AE" w:rsidRDefault="000957D8" w:rsidP="0065190C">
      <w:pPr>
        <w:spacing w:line="240" w:lineRule="auto"/>
        <w:rPr>
          <w:rFonts w:cstheme="minorHAnsi"/>
          <w:sz w:val="24"/>
          <w:szCs w:val="24"/>
        </w:rPr>
      </w:pPr>
    </w:p>
    <w:p w14:paraId="54E0DF76" w14:textId="77777777" w:rsidR="000957D8" w:rsidRPr="001545AE" w:rsidRDefault="000957D8" w:rsidP="0065190C">
      <w:pPr>
        <w:spacing w:line="240" w:lineRule="auto"/>
        <w:rPr>
          <w:rFonts w:cstheme="minorHAnsi"/>
          <w:sz w:val="24"/>
          <w:szCs w:val="24"/>
        </w:rPr>
      </w:pPr>
    </w:p>
    <w:p w14:paraId="51E9A51B" w14:textId="77777777" w:rsidR="00EE5BB3" w:rsidRPr="001545AE" w:rsidRDefault="00EE5BB3" w:rsidP="0065190C">
      <w:pPr>
        <w:spacing w:line="240" w:lineRule="auto"/>
        <w:rPr>
          <w:rFonts w:cstheme="minorHAnsi"/>
          <w:sz w:val="24"/>
          <w:szCs w:val="24"/>
        </w:rPr>
      </w:pPr>
    </w:p>
    <w:p w14:paraId="0B6FE496" w14:textId="3BB43C49" w:rsidR="000957D8" w:rsidRPr="001545AE" w:rsidRDefault="000957D8" w:rsidP="0065190C">
      <w:pPr>
        <w:spacing w:line="240" w:lineRule="auto"/>
        <w:rPr>
          <w:rFonts w:cstheme="minorHAnsi"/>
          <w:sz w:val="24"/>
          <w:szCs w:val="24"/>
        </w:rPr>
      </w:pPr>
    </w:p>
    <w:p w14:paraId="0C79A0DA" w14:textId="311C86FD" w:rsidR="007D1D74" w:rsidRPr="001545AE" w:rsidRDefault="007D1D74" w:rsidP="0065190C">
      <w:pPr>
        <w:spacing w:line="240" w:lineRule="auto"/>
        <w:rPr>
          <w:rFonts w:cstheme="minorHAnsi"/>
          <w:sz w:val="24"/>
          <w:szCs w:val="24"/>
        </w:rPr>
      </w:pPr>
    </w:p>
    <w:p w14:paraId="2E736FCD" w14:textId="77777777" w:rsidR="007D1D74" w:rsidRPr="001545AE" w:rsidRDefault="007D1D74" w:rsidP="0065190C">
      <w:pPr>
        <w:spacing w:line="240" w:lineRule="auto"/>
        <w:rPr>
          <w:rFonts w:cstheme="minorHAnsi"/>
          <w:sz w:val="24"/>
          <w:szCs w:val="24"/>
        </w:rPr>
      </w:pPr>
    </w:p>
    <w:p w14:paraId="5EA117EC" w14:textId="1E6782F6" w:rsidR="000957D8" w:rsidRDefault="000957D8" w:rsidP="0065190C">
      <w:pPr>
        <w:spacing w:line="240" w:lineRule="auto"/>
        <w:rPr>
          <w:rFonts w:cstheme="minorHAnsi"/>
          <w:sz w:val="24"/>
          <w:szCs w:val="24"/>
        </w:rPr>
      </w:pPr>
    </w:p>
    <w:p w14:paraId="0417C72D" w14:textId="1F40B87B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10F203D4" w14:textId="2F8997E2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4C9497F6" w14:textId="7B96908E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5A348FC5" w14:textId="2D7C5FE5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17779A2D" w14:textId="62627CD9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775C7C20" w14:textId="3212DC06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7264EE66" w14:textId="251AA782" w:rsid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p w14:paraId="0A98E1CC" w14:textId="77777777" w:rsidR="001545AE" w:rsidRPr="001545AE" w:rsidRDefault="001545AE" w:rsidP="0065190C">
      <w:pPr>
        <w:spacing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981"/>
        <w:gridCol w:w="1985"/>
        <w:gridCol w:w="2126"/>
      </w:tblGrid>
      <w:tr w:rsidR="007D1D74" w:rsidRPr="001545AE" w14:paraId="197E3BB5" w14:textId="77777777" w:rsidTr="007D1D7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49CB" w14:textId="77777777" w:rsidR="007D1D74" w:rsidRPr="00455612" w:rsidRDefault="007D1D74" w:rsidP="007D1D74">
            <w:pPr>
              <w:spacing w:after="160" w:line="256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55612">
              <w:rPr>
                <w:rFonts w:cstheme="minorHAnsi"/>
                <w:color w:val="000000"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EAE1" w14:textId="77777777" w:rsidR="007D1D74" w:rsidRPr="00455612" w:rsidRDefault="007D1D74" w:rsidP="007D1D74">
            <w:pPr>
              <w:spacing w:after="160" w:line="256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55612">
              <w:rPr>
                <w:rFonts w:cstheme="minorHAnsi"/>
                <w:color w:val="000000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694" w14:textId="77777777" w:rsidR="007D1D74" w:rsidRPr="00455612" w:rsidRDefault="007D1D74" w:rsidP="007D1D74">
            <w:pPr>
              <w:spacing w:after="160" w:line="256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55612">
              <w:rPr>
                <w:rFonts w:cstheme="minorHAnsi"/>
                <w:color w:val="000000"/>
                <w:sz w:val="20"/>
                <w:szCs w:val="20"/>
                <w:lang w:val="en-US"/>
              </w:rPr>
              <w:t>Next Review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144" w14:textId="77777777" w:rsidR="007D1D74" w:rsidRPr="00455612" w:rsidRDefault="007D1D74" w:rsidP="007D1D74">
            <w:pPr>
              <w:spacing w:after="160" w:line="256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55612">
              <w:rPr>
                <w:rFonts w:cstheme="minorHAnsi"/>
                <w:color w:val="000000"/>
                <w:sz w:val="20"/>
                <w:szCs w:val="20"/>
                <w:lang w:val="en-US"/>
              </w:rPr>
              <w:t>Contact</w:t>
            </w:r>
          </w:p>
        </w:tc>
      </w:tr>
      <w:tr w:rsidR="007D1D74" w:rsidRPr="001545AE" w14:paraId="702AF98B" w14:textId="77777777" w:rsidTr="007D1D7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59B" w14:textId="581F112C" w:rsidR="007D1D74" w:rsidRPr="00A46404" w:rsidRDefault="00A46404" w:rsidP="007D1D74">
            <w:pPr>
              <w:spacing w:after="160" w:line="256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FD4A" w14:textId="7E9FA1C0" w:rsidR="007D1D74" w:rsidRPr="00A46404" w:rsidRDefault="009B02DC" w:rsidP="007D1D74">
            <w:pPr>
              <w:spacing w:after="160" w:line="25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46404">
              <w:rPr>
                <w:rFonts w:cstheme="minorHAnsi"/>
                <w:sz w:val="20"/>
                <w:szCs w:val="20"/>
                <w:lang w:val="en-US"/>
              </w:rPr>
              <w:t>August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B946" w14:textId="0D7E6278" w:rsidR="007D1D74" w:rsidRPr="00A46404" w:rsidRDefault="007D1D74" w:rsidP="007D1D74">
            <w:pPr>
              <w:spacing w:after="160" w:line="25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46404">
              <w:rPr>
                <w:rFonts w:cstheme="minorHAnsi"/>
                <w:sz w:val="20"/>
                <w:szCs w:val="20"/>
                <w:lang w:val="en-US"/>
              </w:rPr>
              <w:t>July 202</w:t>
            </w:r>
            <w:r w:rsidR="009B02DC" w:rsidRPr="00A46404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B7E0" w14:textId="77777777" w:rsidR="007D1D74" w:rsidRPr="00455612" w:rsidRDefault="007D1D74" w:rsidP="007D1D74">
            <w:pPr>
              <w:spacing w:after="160" w:line="25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55612">
              <w:rPr>
                <w:rFonts w:cstheme="minorHAnsi"/>
                <w:sz w:val="20"/>
                <w:szCs w:val="20"/>
                <w:lang w:val="en-US"/>
              </w:rPr>
              <w:t>Paul Richardson</w:t>
            </w:r>
          </w:p>
        </w:tc>
      </w:tr>
    </w:tbl>
    <w:p w14:paraId="07CD5628" w14:textId="1D94E7C9" w:rsidR="00E5173D" w:rsidRPr="001545AE" w:rsidRDefault="00E5173D" w:rsidP="000957D8">
      <w:pPr>
        <w:spacing w:line="240" w:lineRule="auto"/>
        <w:rPr>
          <w:rFonts w:cstheme="minorHAnsi"/>
          <w:sz w:val="24"/>
          <w:szCs w:val="24"/>
        </w:rPr>
      </w:pPr>
    </w:p>
    <w:p w14:paraId="748CDB77" w14:textId="5ACC4F14" w:rsidR="007D1D74" w:rsidRPr="001545AE" w:rsidRDefault="007D1D74" w:rsidP="007D1D74">
      <w:pPr>
        <w:rPr>
          <w:rFonts w:cstheme="minorHAnsi"/>
          <w:sz w:val="24"/>
          <w:szCs w:val="24"/>
        </w:rPr>
      </w:pPr>
    </w:p>
    <w:p w14:paraId="12787548" w14:textId="77777777" w:rsidR="00455612" w:rsidRDefault="00455612" w:rsidP="007D1D74">
      <w:pPr>
        <w:jc w:val="center"/>
        <w:rPr>
          <w:rFonts w:cstheme="minorHAnsi"/>
          <w:sz w:val="24"/>
          <w:szCs w:val="24"/>
        </w:rPr>
      </w:pPr>
    </w:p>
    <w:p w14:paraId="2432E7F9" w14:textId="4FF9F168" w:rsidR="00A46404" w:rsidRPr="00A46404" w:rsidRDefault="00A46404" w:rsidP="00A46404">
      <w:pPr>
        <w:tabs>
          <w:tab w:val="left" w:pos="228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A46404" w:rsidRPr="00A46404" w:rsidSect="001545AE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1D290" w14:textId="77777777" w:rsidR="00167F39" w:rsidRDefault="00167F39" w:rsidP="00167F39">
      <w:pPr>
        <w:spacing w:after="0" w:line="240" w:lineRule="auto"/>
      </w:pPr>
      <w:r>
        <w:separator/>
      </w:r>
    </w:p>
  </w:endnote>
  <w:endnote w:type="continuationSeparator" w:id="0">
    <w:p w14:paraId="2CBE1E59" w14:textId="77777777" w:rsidR="00167F39" w:rsidRDefault="00167F39" w:rsidP="0016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8768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EC0F5F" w14:textId="77777777" w:rsidR="00895802" w:rsidRDefault="00895802">
            <w:pPr>
              <w:pStyle w:val="Footer"/>
              <w:jc w:val="right"/>
            </w:pPr>
          </w:p>
          <w:p w14:paraId="0E167101" w14:textId="0D389686" w:rsidR="00895802" w:rsidRPr="00895802" w:rsidRDefault="00895802" w:rsidP="00895802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895802">
              <w:rPr>
                <w:rFonts w:ascii="Arial" w:hAnsi="Arial" w:cs="Arial"/>
                <w:sz w:val="16"/>
                <w:szCs w:val="16"/>
              </w:rPr>
              <w:t>DBC L&amp;S Service Supply Chain Fees and Charges Policy/V</w:t>
            </w:r>
            <w:r w:rsidR="00A46404">
              <w:rPr>
                <w:rFonts w:ascii="Arial" w:hAnsi="Arial" w:cs="Arial"/>
                <w:sz w:val="16"/>
                <w:szCs w:val="16"/>
              </w:rPr>
              <w:t>8</w:t>
            </w:r>
            <w:r w:rsidRPr="00895802">
              <w:rPr>
                <w:rFonts w:ascii="Arial" w:hAnsi="Arial" w:cs="Arial"/>
                <w:sz w:val="16"/>
                <w:szCs w:val="16"/>
              </w:rPr>
              <w:t>/S:\Learning &amp; Skills\QA Policies</w:t>
            </w:r>
          </w:p>
          <w:p w14:paraId="0DF9DD67" w14:textId="77777777" w:rsidR="00895802" w:rsidRDefault="00895802">
            <w:pPr>
              <w:pStyle w:val="Footer"/>
              <w:jc w:val="right"/>
            </w:pPr>
            <w:r w:rsidRPr="0089580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2030F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9580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2030F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89580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AF6813" w14:textId="77777777" w:rsidR="00167F39" w:rsidRDefault="00167F39">
    <w:pPr>
      <w:pStyle w:val="Footer"/>
    </w:pPr>
  </w:p>
  <w:p w14:paraId="75386875" w14:textId="77777777" w:rsidR="00090C0C" w:rsidRDefault="00090C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189EC" w14:textId="77777777" w:rsidR="00167F39" w:rsidRDefault="00167F39" w:rsidP="00167F39">
      <w:pPr>
        <w:spacing w:after="0" w:line="240" w:lineRule="auto"/>
      </w:pPr>
      <w:r>
        <w:separator/>
      </w:r>
    </w:p>
  </w:footnote>
  <w:footnote w:type="continuationSeparator" w:id="0">
    <w:p w14:paraId="6B5AC23E" w14:textId="77777777" w:rsidR="00167F39" w:rsidRDefault="00167F39" w:rsidP="0016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573C9" w14:textId="3546EF01" w:rsidR="00E56325" w:rsidRDefault="00E56325" w:rsidP="000C2A6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4E9591" wp14:editId="7D4BCD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ca9a4516bd1bc8f0ca6f6ca7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E34908" w14:textId="77777777" w:rsidR="00E56325" w:rsidRPr="00E56325" w:rsidRDefault="00E56325" w:rsidP="00E563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563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E9591" id="_x0000_t202" coordsize="21600,21600" o:spt="202" path="m,l,21600r21600,l21600,xe">
              <v:stroke joinstyle="miter"/>
              <v:path gradientshapeok="t" o:connecttype="rect"/>
            </v:shapetype>
            <v:shape id="MSIPCMca9a4516bd1bc8f0ca6f6ca7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" o:allowincell="f" filled="f" stroked="f" strokeweight=".5pt">
              <v:textbox inset="20pt,0,,0">
                <w:txbxContent>
                  <w:p w14:paraId="7EE34908" w14:textId="77777777" w:rsidR="00E56325" w:rsidRPr="00E56325" w:rsidRDefault="00E56325" w:rsidP="00E563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5632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1655" w14:textId="7E627B0F" w:rsidR="001545AE" w:rsidRDefault="001545AE" w:rsidP="001545AE">
    <w:pPr>
      <w:pStyle w:val="Header"/>
      <w:jc w:val="center"/>
    </w:pPr>
    <w:r>
      <w:rPr>
        <w:noProof/>
      </w:rPr>
      <w:drawing>
        <wp:inline distT="0" distB="0" distL="0" distR="0" wp14:anchorId="2317ED28" wp14:editId="67F1D100">
          <wp:extent cx="3962400" cy="7334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13C"/>
    <w:multiLevelType w:val="hybridMultilevel"/>
    <w:tmpl w:val="60C01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506"/>
    <w:multiLevelType w:val="hybridMultilevel"/>
    <w:tmpl w:val="D72A1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D1ACD"/>
    <w:multiLevelType w:val="multilevel"/>
    <w:tmpl w:val="E5C2D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17389D"/>
    <w:multiLevelType w:val="hybridMultilevel"/>
    <w:tmpl w:val="5FAA8D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93914"/>
    <w:multiLevelType w:val="hybridMultilevel"/>
    <w:tmpl w:val="DB3E7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293CB5"/>
    <w:multiLevelType w:val="hybridMultilevel"/>
    <w:tmpl w:val="57362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52C0A"/>
    <w:multiLevelType w:val="hybridMultilevel"/>
    <w:tmpl w:val="500C528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9A1F1B"/>
    <w:multiLevelType w:val="hybridMultilevel"/>
    <w:tmpl w:val="1C844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8482A"/>
    <w:multiLevelType w:val="hybridMultilevel"/>
    <w:tmpl w:val="8946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62C7"/>
    <w:multiLevelType w:val="hybridMultilevel"/>
    <w:tmpl w:val="5CC2ED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D45677"/>
    <w:multiLevelType w:val="hybridMultilevel"/>
    <w:tmpl w:val="D4FA203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C31F30"/>
    <w:multiLevelType w:val="hybridMultilevel"/>
    <w:tmpl w:val="65609BEA"/>
    <w:lvl w:ilvl="0" w:tplc="0809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B52FE5"/>
    <w:multiLevelType w:val="hybridMultilevel"/>
    <w:tmpl w:val="54140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B6EE9"/>
    <w:multiLevelType w:val="hybridMultilevel"/>
    <w:tmpl w:val="5FD4A6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949F4"/>
    <w:multiLevelType w:val="hybridMultilevel"/>
    <w:tmpl w:val="88F49A7C"/>
    <w:lvl w:ilvl="0" w:tplc="E3A0254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2017AC"/>
    <w:multiLevelType w:val="hybridMultilevel"/>
    <w:tmpl w:val="95E032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A24FC"/>
    <w:multiLevelType w:val="hybridMultilevel"/>
    <w:tmpl w:val="392EFF6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A287C4F"/>
    <w:multiLevelType w:val="hybridMultilevel"/>
    <w:tmpl w:val="58D2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0753D"/>
    <w:multiLevelType w:val="hybridMultilevel"/>
    <w:tmpl w:val="D8909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A38FE"/>
    <w:multiLevelType w:val="hybridMultilevel"/>
    <w:tmpl w:val="6896A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2D793E"/>
    <w:multiLevelType w:val="multilevel"/>
    <w:tmpl w:val="E5C2D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E462A2"/>
    <w:multiLevelType w:val="hybridMultilevel"/>
    <w:tmpl w:val="797C0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E5625C"/>
    <w:multiLevelType w:val="hybridMultilevel"/>
    <w:tmpl w:val="48C40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09942">
    <w:abstractNumId w:val="0"/>
  </w:num>
  <w:num w:numId="2" w16cid:durableId="1272861288">
    <w:abstractNumId w:val="20"/>
  </w:num>
  <w:num w:numId="3" w16cid:durableId="1638098889">
    <w:abstractNumId w:val="18"/>
  </w:num>
  <w:num w:numId="4" w16cid:durableId="1490707615">
    <w:abstractNumId w:val="22"/>
  </w:num>
  <w:num w:numId="5" w16cid:durableId="1145732846">
    <w:abstractNumId w:val="3"/>
  </w:num>
  <w:num w:numId="6" w16cid:durableId="1657800966">
    <w:abstractNumId w:val="5"/>
  </w:num>
  <w:num w:numId="7" w16cid:durableId="627321623">
    <w:abstractNumId w:val="8"/>
  </w:num>
  <w:num w:numId="8" w16cid:durableId="1895189251">
    <w:abstractNumId w:val="12"/>
  </w:num>
  <w:num w:numId="9" w16cid:durableId="331764590">
    <w:abstractNumId w:val="9"/>
  </w:num>
  <w:num w:numId="10" w16cid:durableId="169688368">
    <w:abstractNumId w:val="14"/>
  </w:num>
  <w:num w:numId="11" w16cid:durableId="350841480">
    <w:abstractNumId w:val="10"/>
  </w:num>
  <w:num w:numId="12" w16cid:durableId="1787701753">
    <w:abstractNumId w:val="17"/>
  </w:num>
  <w:num w:numId="13" w16cid:durableId="629670567">
    <w:abstractNumId w:val="7"/>
  </w:num>
  <w:num w:numId="14" w16cid:durableId="1853453944">
    <w:abstractNumId w:val="13"/>
  </w:num>
  <w:num w:numId="15" w16cid:durableId="1798059337">
    <w:abstractNumId w:val="2"/>
  </w:num>
  <w:num w:numId="16" w16cid:durableId="1968926855">
    <w:abstractNumId w:val="1"/>
  </w:num>
  <w:num w:numId="17" w16cid:durableId="1319190901">
    <w:abstractNumId w:val="6"/>
  </w:num>
  <w:num w:numId="18" w16cid:durableId="432289455">
    <w:abstractNumId w:val="21"/>
  </w:num>
  <w:num w:numId="19" w16cid:durableId="148908425">
    <w:abstractNumId w:val="16"/>
  </w:num>
  <w:num w:numId="20" w16cid:durableId="1533226411">
    <w:abstractNumId w:val="15"/>
  </w:num>
  <w:num w:numId="21" w16cid:durableId="455761961">
    <w:abstractNumId w:val="11"/>
  </w:num>
  <w:num w:numId="22" w16cid:durableId="1069233276">
    <w:abstractNumId w:val="19"/>
  </w:num>
  <w:num w:numId="23" w16cid:durableId="46281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46"/>
    <w:rsid w:val="00061762"/>
    <w:rsid w:val="00063F11"/>
    <w:rsid w:val="00090C0C"/>
    <w:rsid w:val="000957D8"/>
    <w:rsid w:val="000B7C68"/>
    <w:rsid w:val="000C2A6B"/>
    <w:rsid w:val="00114989"/>
    <w:rsid w:val="0013400C"/>
    <w:rsid w:val="0015008E"/>
    <w:rsid w:val="001545AE"/>
    <w:rsid w:val="00167F39"/>
    <w:rsid w:val="00194F8A"/>
    <w:rsid w:val="001B56B3"/>
    <w:rsid w:val="001F35DB"/>
    <w:rsid w:val="00213F6F"/>
    <w:rsid w:val="00263892"/>
    <w:rsid w:val="00272B38"/>
    <w:rsid w:val="002C22E7"/>
    <w:rsid w:val="002F6D35"/>
    <w:rsid w:val="00330810"/>
    <w:rsid w:val="00351CC0"/>
    <w:rsid w:val="00353598"/>
    <w:rsid w:val="00357E9B"/>
    <w:rsid w:val="003815AE"/>
    <w:rsid w:val="00381F69"/>
    <w:rsid w:val="003F3648"/>
    <w:rsid w:val="0042030F"/>
    <w:rsid w:val="0045100B"/>
    <w:rsid w:val="00454939"/>
    <w:rsid w:val="00455612"/>
    <w:rsid w:val="004819CB"/>
    <w:rsid w:val="004F4300"/>
    <w:rsid w:val="00577A06"/>
    <w:rsid w:val="00594216"/>
    <w:rsid w:val="005E3FAF"/>
    <w:rsid w:val="00606FFD"/>
    <w:rsid w:val="00637CD7"/>
    <w:rsid w:val="006426C5"/>
    <w:rsid w:val="0065190C"/>
    <w:rsid w:val="006B4BB5"/>
    <w:rsid w:val="006C0FA2"/>
    <w:rsid w:val="007119C7"/>
    <w:rsid w:val="007158C4"/>
    <w:rsid w:val="00717D36"/>
    <w:rsid w:val="007617E0"/>
    <w:rsid w:val="007760C1"/>
    <w:rsid w:val="00796EE1"/>
    <w:rsid w:val="007D1D74"/>
    <w:rsid w:val="007F2B61"/>
    <w:rsid w:val="008072BF"/>
    <w:rsid w:val="00845203"/>
    <w:rsid w:val="008710BA"/>
    <w:rsid w:val="00895802"/>
    <w:rsid w:val="009476DD"/>
    <w:rsid w:val="0096647B"/>
    <w:rsid w:val="0098367D"/>
    <w:rsid w:val="009A3F56"/>
    <w:rsid w:val="009B02DC"/>
    <w:rsid w:val="009F4E82"/>
    <w:rsid w:val="009F774E"/>
    <w:rsid w:val="00A20546"/>
    <w:rsid w:val="00A44F6C"/>
    <w:rsid w:val="00A46404"/>
    <w:rsid w:val="00AD42AB"/>
    <w:rsid w:val="00AF702C"/>
    <w:rsid w:val="00B73D0A"/>
    <w:rsid w:val="00BE1216"/>
    <w:rsid w:val="00BF1B94"/>
    <w:rsid w:val="00BF2DBA"/>
    <w:rsid w:val="00BF3B30"/>
    <w:rsid w:val="00C12BD5"/>
    <w:rsid w:val="00C624DF"/>
    <w:rsid w:val="00C668AC"/>
    <w:rsid w:val="00CA0179"/>
    <w:rsid w:val="00CC7EF5"/>
    <w:rsid w:val="00CF06D0"/>
    <w:rsid w:val="00DC1B05"/>
    <w:rsid w:val="00E0477E"/>
    <w:rsid w:val="00E5173D"/>
    <w:rsid w:val="00E55BF5"/>
    <w:rsid w:val="00E56325"/>
    <w:rsid w:val="00EC6571"/>
    <w:rsid w:val="00ED4EF6"/>
    <w:rsid w:val="00EE5BB3"/>
    <w:rsid w:val="00F4018D"/>
    <w:rsid w:val="00F81728"/>
    <w:rsid w:val="00F84A03"/>
    <w:rsid w:val="00F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D81C551"/>
  <w15:docId w15:val="{A00184BC-64AD-4536-8229-1459749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5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0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1CC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51C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7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39"/>
  </w:style>
  <w:style w:type="character" w:styleId="FollowedHyperlink">
    <w:name w:val="FollowedHyperlink"/>
    <w:basedOn w:val="DefaultParagraphFont"/>
    <w:uiPriority w:val="99"/>
    <w:semiHidden/>
    <w:unhideWhenUsed/>
    <w:rsid w:val="006B4B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lington.gov.uk/education-and-learning/learning-skills/policies-procedures-and-privacy-statem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51D-DAD7-4532-AD92-FDA8433A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2253</Words>
  <Characters>12846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Richardson</dc:creator>
  <cp:lastModifiedBy>Alaine McCartney</cp:lastModifiedBy>
  <cp:revision>2</cp:revision>
  <cp:lastPrinted>2018-03-14T14:05:00Z</cp:lastPrinted>
  <dcterms:created xsi:type="dcterms:W3CDTF">2024-08-02T14:21:00Z</dcterms:created>
  <dcterms:modified xsi:type="dcterms:W3CDTF">2024-08-02T14:21:00Z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2022-08-11T09:31:48Z</vt:lpwstr>
  </property>
  <property fmtid="{D5CDD505-2E9C-101B-9397-08002B2CF9AE}" pid="4" name="MSIP_Label_b0959cb5-d6fa-43bd-af65-dd08ea55ea38_Method">
    <vt:lpwstr>Standard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db2fd81c-a9f4-432a-9c1d-225d91f14eff</vt:lpwstr>
  </property>
  <property fmtid="{D5CDD505-2E9C-101B-9397-08002B2CF9AE}" pid="8" name="MSIP_Label_b0959cb5-d6fa-43bd-af65-dd08ea55ea38_ContentBits">
    <vt:lpwstr>1</vt:lpwstr>
  </property>
</Properties>
</file>